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CFE17" w14:textId="5D4FB499" w:rsidR="007666CD" w:rsidRPr="0082488A" w:rsidRDefault="007F18E2" w:rsidP="007666CD">
      <w:pPr>
        <w:pStyle w:val="Heading11"/>
        <w:spacing w:before="0" w:line="240" w:lineRule="auto"/>
        <w:rPr>
          <w:i w:val="0"/>
          <w:sz w:val="18"/>
          <w:szCs w:val="18"/>
        </w:rPr>
      </w:pPr>
      <w:r>
        <w:rPr>
          <w:i w:val="0"/>
          <w:sz w:val="18"/>
          <w:szCs w:val="18"/>
        </w:rPr>
        <w:t>Allocation 2016-17</w:t>
      </w:r>
    </w:p>
    <w:p w14:paraId="33CCFE18" w14:textId="048B7CDB" w:rsidR="007666CD" w:rsidRPr="0082488A" w:rsidRDefault="007666CD" w:rsidP="007666CD">
      <w:pPr>
        <w:pStyle w:val="BodyBullet"/>
        <w:ind w:left="360"/>
        <w:jc w:val="center"/>
        <w:rPr>
          <w:rFonts w:hAnsi="Arial Unicode MS"/>
          <w:b/>
          <w:sz w:val="18"/>
          <w:szCs w:val="18"/>
        </w:rPr>
      </w:pPr>
      <w:r w:rsidRPr="0082488A">
        <w:rPr>
          <w:rFonts w:hAnsi="Arial Unicode MS"/>
          <w:b/>
          <w:sz w:val="18"/>
          <w:szCs w:val="18"/>
        </w:rPr>
        <w:t xml:space="preserve"> Estimated Total </w:t>
      </w:r>
      <w:r w:rsidRPr="0082488A">
        <w:rPr>
          <w:rFonts w:hAnsi="Arial Unicode MS" w:hint="eastAsia"/>
          <w:b/>
          <w:sz w:val="18"/>
          <w:szCs w:val="18"/>
        </w:rPr>
        <w:t>£</w:t>
      </w:r>
      <w:r w:rsidR="006E719B" w:rsidRPr="0082488A">
        <w:rPr>
          <w:rFonts w:hAnsi="Arial Unicode MS"/>
          <w:b/>
          <w:sz w:val="18"/>
          <w:szCs w:val="18"/>
        </w:rPr>
        <w:t>57, 480</w:t>
      </w:r>
    </w:p>
    <w:p w14:paraId="33CCFE19" w14:textId="77777777" w:rsidR="007666CD" w:rsidRPr="0082488A" w:rsidRDefault="007666CD" w:rsidP="007666CD">
      <w:pPr>
        <w:pStyle w:val="Heading11"/>
        <w:spacing w:before="0" w:line="240" w:lineRule="auto"/>
        <w:rPr>
          <w:i w:val="0"/>
          <w:sz w:val="18"/>
          <w:szCs w:val="18"/>
        </w:rPr>
      </w:pPr>
      <w:r w:rsidRPr="0082488A">
        <w:rPr>
          <w:i w:val="0"/>
          <w:sz w:val="18"/>
          <w:szCs w:val="18"/>
        </w:rPr>
        <w:t>Funding</w:t>
      </w:r>
    </w:p>
    <w:p w14:paraId="33CCFE1A" w14:textId="77777777" w:rsidR="007666CD" w:rsidRPr="0082488A" w:rsidRDefault="007666CD" w:rsidP="007666CD">
      <w:pPr>
        <w:pStyle w:val="BodyBullet"/>
        <w:ind w:left="360"/>
        <w:rPr>
          <w:rFonts w:hAnsi="Arial Unicode MS"/>
          <w:sz w:val="18"/>
          <w:szCs w:val="18"/>
        </w:rPr>
      </w:pPr>
      <w:r w:rsidRPr="0082488A">
        <w:rPr>
          <w:rFonts w:hAnsi="Arial Unicode MS"/>
          <w:b/>
          <w:sz w:val="18"/>
          <w:szCs w:val="18"/>
        </w:rPr>
        <w:t>Looked After Children</w:t>
      </w:r>
      <w:r w:rsidRPr="0082488A">
        <w:rPr>
          <w:rFonts w:hAnsi="Arial Unicode MS"/>
          <w:sz w:val="18"/>
          <w:szCs w:val="18"/>
        </w:rPr>
        <w:t xml:space="preserve"> </w:t>
      </w:r>
    </w:p>
    <w:p w14:paraId="33CCFE1B" w14:textId="77777777" w:rsidR="007666CD" w:rsidRPr="0082488A" w:rsidRDefault="007666CD" w:rsidP="007666CD">
      <w:pPr>
        <w:pStyle w:val="BodyBullet"/>
        <w:ind w:left="720"/>
        <w:rPr>
          <w:rFonts w:hAnsi="Arial Unicode MS"/>
          <w:b/>
          <w:sz w:val="18"/>
          <w:szCs w:val="18"/>
        </w:rPr>
      </w:pPr>
      <w:r w:rsidRPr="0082488A">
        <w:rPr>
          <w:rFonts w:hAnsi="Arial Unicode MS"/>
          <w:b/>
          <w:sz w:val="18"/>
          <w:szCs w:val="18"/>
        </w:rPr>
        <w:t xml:space="preserve">Number of Pupils Funding Allocated to: </w:t>
      </w:r>
      <w:r w:rsidRPr="0082488A">
        <w:rPr>
          <w:rFonts w:hAnsi="Arial Unicode MS"/>
          <w:sz w:val="18"/>
          <w:szCs w:val="18"/>
        </w:rPr>
        <w:t>3</w:t>
      </w:r>
    </w:p>
    <w:p w14:paraId="33CCFE1C" w14:textId="76418CC3" w:rsidR="007666CD" w:rsidRPr="0082488A" w:rsidRDefault="007666CD" w:rsidP="007666CD">
      <w:pPr>
        <w:pStyle w:val="BodyBullet"/>
        <w:ind w:left="720"/>
        <w:rPr>
          <w:rFonts w:hAnsi="Arial Unicode MS"/>
          <w:sz w:val="18"/>
          <w:szCs w:val="18"/>
        </w:rPr>
      </w:pPr>
      <w:r w:rsidRPr="0082488A">
        <w:rPr>
          <w:rFonts w:hAnsi="Arial Unicode MS"/>
          <w:b/>
          <w:sz w:val="18"/>
          <w:szCs w:val="18"/>
        </w:rPr>
        <w:t>Funding</w:t>
      </w:r>
      <w:r w:rsidRPr="0082488A">
        <w:rPr>
          <w:rFonts w:hAnsi="Arial Unicode MS"/>
          <w:sz w:val="18"/>
          <w:szCs w:val="18"/>
        </w:rPr>
        <w:t xml:space="preserve"> = </w:t>
      </w:r>
      <w:r w:rsidRPr="0082488A">
        <w:rPr>
          <w:rFonts w:hAnsi="Arial Unicode MS" w:hint="eastAsia"/>
          <w:sz w:val="18"/>
          <w:szCs w:val="18"/>
        </w:rPr>
        <w:t>£</w:t>
      </w:r>
      <w:r w:rsidRPr="0082488A">
        <w:rPr>
          <w:rFonts w:hAnsi="Arial Unicode MS"/>
          <w:sz w:val="18"/>
          <w:szCs w:val="18"/>
        </w:rPr>
        <w:t xml:space="preserve">1900 </w:t>
      </w:r>
    </w:p>
    <w:p w14:paraId="4BC1FF50" w14:textId="01BA5376" w:rsidR="006E719B" w:rsidRPr="0082488A" w:rsidRDefault="006E719B" w:rsidP="007666CD">
      <w:pPr>
        <w:pStyle w:val="BodyBullet"/>
        <w:ind w:left="720"/>
        <w:rPr>
          <w:rStyle w:val="Emphasis"/>
          <w:rFonts w:ascii="Helvetica" w:eastAsia="Arial Unicode MS" w:hAnsi="Arial Unicode MS" w:cstheme="minorBidi"/>
          <w:b w:val="0"/>
          <w:bCs w:val="0"/>
          <w:i w:val="0"/>
          <w:iCs w:val="0"/>
          <w:color w:val="000000"/>
          <w:sz w:val="18"/>
          <w:szCs w:val="18"/>
          <w:bdr w:val="none" w:sz="0" w:space="0" w:color="auto"/>
          <w:shd w:val="clear" w:color="auto" w:fill="auto"/>
        </w:rPr>
      </w:pPr>
      <w:r w:rsidRPr="0082488A">
        <w:rPr>
          <w:rStyle w:val="Emphasis"/>
          <w:rFonts w:ascii="Helvetica" w:eastAsia="Arial Unicode MS" w:hAnsi="Arial Unicode MS" w:cstheme="minorBidi"/>
          <w:b w:val="0"/>
          <w:bCs w:val="0"/>
          <w:i w:val="0"/>
          <w:iCs w:val="0"/>
          <w:color w:val="000000"/>
          <w:sz w:val="18"/>
          <w:szCs w:val="18"/>
          <w:bdr w:val="none" w:sz="0" w:space="0" w:color="auto"/>
          <w:shd w:val="clear" w:color="auto" w:fill="auto"/>
        </w:rPr>
        <w:tab/>
        <w:t xml:space="preserve">   = </w:t>
      </w:r>
      <w:r w:rsidRPr="0082488A">
        <w:rPr>
          <w:rStyle w:val="Emphasis"/>
          <w:rFonts w:ascii="Helvetica" w:eastAsia="Arial Unicode MS" w:hAnsi="Arial Unicode MS" w:cstheme="minorBidi"/>
          <w:b w:val="0"/>
          <w:bCs w:val="0"/>
          <w:i w:val="0"/>
          <w:iCs w:val="0"/>
          <w:color w:val="000000"/>
          <w:sz w:val="18"/>
          <w:szCs w:val="18"/>
          <w:bdr w:val="none" w:sz="0" w:space="0" w:color="auto"/>
          <w:shd w:val="clear" w:color="auto" w:fill="auto"/>
        </w:rPr>
        <w:t>£</w:t>
      </w:r>
      <w:r w:rsidRPr="0082488A">
        <w:rPr>
          <w:rStyle w:val="Emphasis"/>
          <w:rFonts w:ascii="Helvetica" w:eastAsia="Arial Unicode MS" w:hAnsi="Arial Unicode MS" w:cstheme="minorBidi"/>
          <w:b w:val="0"/>
          <w:bCs w:val="0"/>
          <w:i w:val="0"/>
          <w:iCs w:val="0"/>
          <w:color w:val="000000"/>
          <w:sz w:val="18"/>
          <w:szCs w:val="18"/>
          <w:bdr w:val="none" w:sz="0" w:space="0" w:color="auto"/>
          <w:shd w:val="clear" w:color="auto" w:fill="auto"/>
        </w:rPr>
        <w:t>5,700</w:t>
      </w:r>
    </w:p>
    <w:p w14:paraId="33CCFE1D" w14:textId="77777777" w:rsidR="00CE7C4D" w:rsidRPr="0082488A" w:rsidRDefault="00CE7C4D" w:rsidP="007666CD">
      <w:pPr>
        <w:pStyle w:val="BodyBullet"/>
        <w:ind w:left="360"/>
        <w:rPr>
          <w:rFonts w:hAnsi="Arial Unicode MS"/>
          <w:b/>
          <w:sz w:val="18"/>
          <w:szCs w:val="18"/>
        </w:rPr>
      </w:pPr>
    </w:p>
    <w:p w14:paraId="33CCFE1E" w14:textId="77777777" w:rsidR="007666CD" w:rsidRPr="0082488A" w:rsidRDefault="007666CD" w:rsidP="007666CD">
      <w:pPr>
        <w:pStyle w:val="BodyBullet"/>
        <w:ind w:left="360"/>
        <w:rPr>
          <w:rFonts w:hAnsi="Arial Unicode MS"/>
          <w:sz w:val="18"/>
          <w:szCs w:val="18"/>
        </w:rPr>
      </w:pPr>
      <w:r w:rsidRPr="0082488A">
        <w:rPr>
          <w:rFonts w:hAnsi="Arial Unicode MS"/>
          <w:b/>
          <w:sz w:val="18"/>
          <w:szCs w:val="18"/>
        </w:rPr>
        <w:t>Service Children</w:t>
      </w:r>
    </w:p>
    <w:p w14:paraId="33CCFE1F" w14:textId="77777777" w:rsidR="007666CD" w:rsidRPr="0082488A" w:rsidRDefault="007666CD" w:rsidP="007666CD">
      <w:pPr>
        <w:pStyle w:val="BodyBullet"/>
        <w:ind w:left="720"/>
        <w:rPr>
          <w:rFonts w:hAnsi="Arial Unicode MS"/>
          <w:b/>
          <w:sz w:val="18"/>
          <w:szCs w:val="18"/>
        </w:rPr>
      </w:pPr>
      <w:r w:rsidRPr="0082488A">
        <w:rPr>
          <w:rFonts w:hAnsi="Arial Unicode MS"/>
          <w:b/>
          <w:sz w:val="18"/>
          <w:szCs w:val="18"/>
        </w:rPr>
        <w:t xml:space="preserve">Number of Pupils Funding Allocated to: </w:t>
      </w:r>
      <w:r w:rsidRPr="0082488A">
        <w:rPr>
          <w:rFonts w:hAnsi="Arial Unicode MS"/>
          <w:sz w:val="18"/>
          <w:szCs w:val="18"/>
        </w:rPr>
        <w:t>1</w:t>
      </w:r>
    </w:p>
    <w:p w14:paraId="33CCFE20" w14:textId="77777777" w:rsidR="007666CD" w:rsidRPr="0082488A" w:rsidRDefault="007666CD" w:rsidP="007666CD">
      <w:pPr>
        <w:pStyle w:val="BodyBullet"/>
        <w:ind w:left="720"/>
        <w:rPr>
          <w:rStyle w:val="Emphasis"/>
          <w:rFonts w:ascii="Helvetica" w:eastAsia="Arial Unicode MS" w:hAnsi="Arial Unicode MS" w:cstheme="minorBidi"/>
          <w:b w:val="0"/>
          <w:bCs w:val="0"/>
          <w:i w:val="0"/>
          <w:iCs w:val="0"/>
          <w:color w:val="000000"/>
          <w:sz w:val="18"/>
          <w:szCs w:val="18"/>
          <w:bdr w:val="none" w:sz="0" w:space="0" w:color="auto"/>
          <w:shd w:val="clear" w:color="auto" w:fill="auto"/>
        </w:rPr>
      </w:pPr>
      <w:r w:rsidRPr="0082488A">
        <w:rPr>
          <w:rFonts w:hAnsi="Arial Unicode MS"/>
          <w:b/>
          <w:sz w:val="18"/>
          <w:szCs w:val="18"/>
        </w:rPr>
        <w:t>Funding</w:t>
      </w:r>
      <w:r w:rsidRPr="0082488A">
        <w:rPr>
          <w:rFonts w:hAnsi="Arial Unicode MS"/>
          <w:sz w:val="18"/>
          <w:szCs w:val="18"/>
        </w:rPr>
        <w:t xml:space="preserve"> =</w:t>
      </w:r>
      <w:r w:rsidRPr="0082488A">
        <w:rPr>
          <w:rFonts w:hAnsi="Arial Unicode MS" w:hint="eastAsia"/>
          <w:sz w:val="18"/>
          <w:szCs w:val="18"/>
        </w:rPr>
        <w:t>£</w:t>
      </w:r>
      <w:r w:rsidRPr="0082488A">
        <w:rPr>
          <w:rFonts w:hAnsi="Arial Unicode MS"/>
          <w:sz w:val="18"/>
          <w:szCs w:val="18"/>
        </w:rPr>
        <w:t>300</w:t>
      </w:r>
    </w:p>
    <w:p w14:paraId="33CCFE21" w14:textId="77777777" w:rsidR="00CE7C4D" w:rsidRPr="0082488A" w:rsidRDefault="00CE7C4D" w:rsidP="007666CD">
      <w:pPr>
        <w:pStyle w:val="BodyBullet"/>
        <w:ind w:left="360"/>
        <w:rPr>
          <w:rFonts w:hAnsi="Arial Unicode MS"/>
          <w:b/>
          <w:sz w:val="18"/>
          <w:szCs w:val="18"/>
        </w:rPr>
      </w:pPr>
    </w:p>
    <w:p w14:paraId="33CCFE22" w14:textId="77777777" w:rsidR="007666CD" w:rsidRPr="0082488A" w:rsidRDefault="007666CD" w:rsidP="007666CD">
      <w:pPr>
        <w:pStyle w:val="BodyBullet"/>
        <w:ind w:left="360"/>
        <w:rPr>
          <w:rFonts w:hAnsi="Arial Unicode MS"/>
          <w:sz w:val="18"/>
          <w:szCs w:val="18"/>
        </w:rPr>
      </w:pPr>
      <w:r w:rsidRPr="0082488A">
        <w:rPr>
          <w:rFonts w:hAnsi="Arial Unicode MS"/>
          <w:b/>
          <w:sz w:val="18"/>
          <w:szCs w:val="18"/>
        </w:rPr>
        <w:t>Free School Meals (6ever)</w:t>
      </w:r>
    </w:p>
    <w:p w14:paraId="33CCFE23" w14:textId="73D4B4EB" w:rsidR="007666CD" w:rsidRPr="0082488A" w:rsidRDefault="007666CD" w:rsidP="007666CD">
      <w:pPr>
        <w:pStyle w:val="BodyBullet"/>
        <w:ind w:left="720"/>
        <w:rPr>
          <w:rFonts w:hAnsi="Arial Unicode MS"/>
          <w:sz w:val="18"/>
          <w:szCs w:val="18"/>
        </w:rPr>
      </w:pPr>
      <w:r w:rsidRPr="0082488A">
        <w:rPr>
          <w:rFonts w:hAnsi="Arial Unicode MS"/>
          <w:b/>
          <w:sz w:val="18"/>
          <w:szCs w:val="18"/>
        </w:rPr>
        <w:t xml:space="preserve">Total Number of Pupils: </w:t>
      </w:r>
      <w:r w:rsidR="006E719B" w:rsidRPr="0082488A">
        <w:rPr>
          <w:rFonts w:hAnsi="Arial Unicode MS"/>
          <w:b/>
          <w:sz w:val="18"/>
          <w:szCs w:val="18"/>
        </w:rPr>
        <w:t>39</w:t>
      </w:r>
    </w:p>
    <w:p w14:paraId="33CCFE24" w14:textId="6420963B" w:rsidR="00DB1E9A" w:rsidRPr="0082488A" w:rsidRDefault="007666CD" w:rsidP="002D25F3">
      <w:pPr>
        <w:pStyle w:val="BodyBullet"/>
        <w:ind w:left="720"/>
        <w:rPr>
          <w:rFonts w:hAnsi="Arial Unicode MS"/>
          <w:bCs/>
          <w:iCs/>
          <w:sz w:val="18"/>
          <w:szCs w:val="18"/>
        </w:rPr>
      </w:pPr>
      <w:r w:rsidRPr="0082488A">
        <w:rPr>
          <w:rFonts w:hAnsi="Arial Unicode MS"/>
          <w:b/>
          <w:bCs/>
          <w:iCs/>
          <w:sz w:val="18"/>
          <w:szCs w:val="18"/>
        </w:rPr>
        <w:t>Funding</w:t>
      </w:r>
      <w:r w:rsidRPr="0082488A">
        <w:rPr>
          <w:rFonts w:hAnsi="Arial Unicode MS"/>
          <w:bCs/>
          <w:iCs/>
          <w:sz w:val="18"/>
          <w:szCs w:val="18"/>
        </w:rPr>
        <w:t xml:space="preserve"> = </w:t>
      </w:r>
      <w:r w:rsidRPr="0082488A">
        <w:rPr>
          <w:rFonts w:hAnsi="Arial Unicode MS" w:hint="eastAsia"/>
          <w:bCs/>
          <w:iCs/>
          <w:sz w:val="18"/>
          <w:szCs w:val="18"/>
        </w:rPr>
        <w:t>£</w:t>
      </w:r>
      <w:r w:rsidRPr="0082488A">
        <w:rPr>
          <w:rFonts w:hAnsi="Arial Unicode MS"/>
          <w:bCs/>
          <w:iCs/>
          <w:sz w:val="18"/>
          <w:szCs w:val="18"/>
        </w:rPr>
        <w:t>1320</w:t>
      </w:r>
    </w:p>
    <w:p w14:paraId="51303066" w14:textId="09113653" w:rsidR="006E719B" w:rsidRPr="0082488A" w:rsidRDefault="006E719B" w:rsidP="002D25F3">
      <w:pPr>
        <w:pStyle w:val="BodyBullet"/>
        <w:ind w:left="720"/>
        <w:rPr>
          <w:rFonts w:hAnsi="Arial Unicode MS"/>
          <w:bCs/>
          <w:iCs/>
          <w:sz w:val="18"/>
          <w:szCs w:val="18"/>
        </w:rPr>
      </w:pPr>
      <w:r w:rsidRPr="0082488A">
        <w:rPr>
          <w:rFonts w:hAnsi="Arial Unicode MS"/>
          <w:bCs/>
          <w:iCs/>
          <w:sz w:val="18"/>
          <w:szCs w:val="18"/>
        </w:rPr>
        <w:t xml:space="preserve">               = </w:t>
      </w:r>
      <w:r w:rsidRPr="0082488A">
        <w:rPr>
          <w:rFonts w:hAnsi="Arial Unicode MS"/>
          <w:bCs/>
          <w:iCs/>
          <w:sz w:val="18"/>
          <w:szCs w:val="18"/>
        </w:rPr>
        <w:t>£</w:t>
      </w:r>
      <w:r w:rsidRPr="0082488A">
        <w:rPr>
          <w:rFonts w:hAnsi="Arial Unicode MS"/>
          <w:bCs/>
          <w:iCs/>
          <w:sz w:val="18"/>
          <w:szCs w:val="18"/>
        </w:rPr>
        <w:t>51,480</w:t>
      </w:r>
    </w:p>
    <w:p w14:paraId="33CCFE25" w14:textId="77777777" w:rsidR="002D25F3" w:rsidRPr="0082488A" w:rsidRDefault="002D25F3" w:rsidP="002D25F3">
      <w:pPr>
        <w:pStyle w:val="BodyBullet"/>
        <w:ind w:left="720"/>
        <w:rPr>
          <w:rFonts w:hAnsi="Arial Unicode MS"/>
          <w:bCs/>
          <w:iCs/>
          <w:sz w:val="18"/>
          <w:szCs w:val="18"/>
        </w:rPr>
      </w:pPr>
    </w:p>
    <w:p w14:paraId="33CCFE26" w14:textId="77777777" w:rsidR="00553D1C" w:rsidRPr="0082488A" w:rsidRDefault="00553D1C" w:rsidP="00553D1C">
      <w:pPr>
        <w:pStyle w:val="Heading11"/>
        <w:spacing w:before="0" w:line="240" w:lineRule="auto"/>
        <w:rPr>
          <w:i w:val="0"/>
          <w:sz w:val="18"/>
          <w:szCs w:val="18"/>
        </w:rPr>
      </w:pPr>
      <w:r w:rsidRPr="0082488A">
        <w:rPr>
          <w:i w:val="0"/>
          <w:sz w:val="18"/>
          <w:szCs w:val="18"/>
        </w:rPr>
        <w:t>Aim</w:t>
      </w:r>
    </w:p>
    <w:p w14:paraId="33CCFE27" w14:textId="77777777" w:rsidR="00553D1C" w:rsidRPr="0082488A" w:rsidRDefault="00553D1C" w:rsidP="00553D1C">
      <w:pPr>
        <w:pStyle w:val="BodyBullet"/>
        <w:rPr>
          <w:rFonts w:hAnsi="Arial Unicode MS"/>
          <w:iCs/>
          <w:sz w:val="18"/>
          <w:szCs w:val="18"/>
        </w:rPr>
      </w:pPr>
      <w:r w:rsidRPr="0082488A">
        <w:rPr>
          <w:rFonts w:hAnsi="Arial Unicode MS"/>
          <w:bCs/>
          <w:iCs/>
          <w:sz w:val="18"/>
          <w:szCs w:val="18"/>
        </w:rPr>
        <w:t>To raise the attainment of all pupils who are eligible for Pupil Premium by accelerating progress so that it is in line with or better than national expectations.</w:t>
      </w:r>
    </w:p>
    <w:p w14:paraId="33CCFE28" w14:textId="77777777" w:rsidR="002D25F3" w:rsidRPr="0082488A" w:rsidRDefault="002D25F3" w:rsidP="002D25F3">
      <w:pPr>
        <w:pStyle w:val="BodyBullet"/>
        <w:ind w:left="720"/>
        <w:rPr>
          <w:rFonts w:hAnsi="Arial Unicode MS"/>
          <w:bCs/>
          <w:iCs/>
          <w:sz w:val="18"/>
          <w:szCs w:val="18"/>
        </w:rPr>
      </w:pPr>
    </w:p>
    <w:tbl>
      <w:tblPr>
        <w:tblStyle w:val="TableGrid"/>
        <w:tblpPr w:leftFromText="180" w:rightFromText="180" w:vertAnchor="page" w:horzAnchor="margin" w:tblpY="2416"/>
        <w:tblW w:w="14459" w:type="dxa"/>
        <w:tblLook w:val="04A0" w:firstRow="1" w:lastRow="0" w:firstColumn="1" w:lastColumn="0" w:noHBand="0" w:noVBand="1"/>
      </w:tblPr>
      <w:tblGrid>
        <w:gridCol w:w="599"/>
        <w:gridCol w:w="2236"/>
        <w:gridCol w:w="5236"/>
        <w:gridCol w:w="1274"/>
        <w:gridCol w:w="3696"/>
        <w:gridCol w:w="1418"/>
      </w:tblGrid>
      <w:tr w:rsidR="00DA6940" w:rsidRPr="0082488A" w14:paraId="33CCFE2E" w14:textId="77777777" w:rsidTr="00505FC0">
        <w:trPr>
          <w:trHeight w:val="346"/>
        </w:trPr>
        <w:tc>
          <w:tcPr>
            <w:tcW w:w="599" w:type="dxa"/>
            <w:tcBorders>
              <w:top w:val="nil"/>
              <w:left w:val="nil"/>
            </w:tcBorders>
            <w:shd w:val="clear" w:color="auto" w:fill="auto"/>
            <w:vAlign w:val="center"/>
          </w:tcPr>
          <w:p w14:paraId="33CCFE29" w14:textId="77777777" w:rsidR="00DA6940" w:rsidRPr="0082488A" w:rsidRDefault="00DA6940" w:rsidP="00553D1C">
            <w:pPr>
              <w:jc w:val="center"/>
              <w:rPr>
                <w:sz w:val="18"/>
                <w:szCs w:val="18"/>
              </w:rPr>
            </w:pPr>
          </w:p>
        </w:tc>
        <w:tc>
          <w:tcPr>
            <w:tcW w:w="2236" w:type="dxa"/>
            <w:shd w:val="clear" w:color="auto" w:fill="660033"/>
            <w:vAlign w:val="center"/>
          </w:tcPr>
          <w:p w14:paraId="33CCFE2A" w14:textId="77777777" w:rsidR="00DA6940" w:rsidRPr="0082488A" w:rsidRDefault="00DA6940" w:rsidP="00553D1C">
            <w:pPr>
              <w:jc w:val="center"/>
              <w:rPr>
                <w:sz w:val="18"/>
                <w:szCs w:val="18"/>
              </w:rPr>
            </w:pPr>
            <w:r w:rsidRPr="0082488A">
              <w:rPr>
                <w:sz w:val="18"/>
                <w:szCs w:val="18"/>
              </w:rPr>
              <w:t>Initiative</w:t>
            </w:r>
          </w:p>
        </w:tc>
        <w:tc>
          <w:tcPr>
            <w:tcW w:w="5236" w:type="dxa"/>
            <w:shd w:val="clear" w:color="auto" w:fill="660033"/>
            <w:vAlign w:val="center"/>
          </w:tcPr>
          <w:p w14:paraId="63F93B6A" w14:textId="3A7F4876" w:rsidR="00DA6940" w:rsidRPr="0082488A" w:rsidRDefault="00DA6940" w:rsidP="00DA6940">
            <w:pPr>
              <w:jc w:val="center"/>
              <w:rPr>
                <w:sz w:val="18"/>
                <w:szCs w:val="18"/>
              </w:rPr>
            </w:pPr>
            <w:r w:rsidRPr="0082488A">
              <w:rPr>
                <w:sz w:val="18"/>
                <w:szCs w:val="18"/>
              </w:rPr>
              <w:t>Rationale (EEF Toolkit Research)</w:t>
            </w:r>
          </w:p>
        </w:tc>
        <w:tc>
          <w:tcPr>
            <w:tcW w:w="1274" w:type="dxa"/>
            <w:shd w:val="clear" w:color="auto" w:fill="660033"/>
            <w:vAlign w:val="center"/>
          </w:tcPr>
          <w:p w14:paraId="33CCFE2B" w14:textId="7AFD56D6" w:rsidR="00DA6940" w:rsidRPr="0082488A" w:rsidRDefault="00DA6940" w:rsidP="00505FC0">
            <w:pPr>
              <w:jc w:val="center"/>
              <w:rPr>
                <w:sz w:val="18"/>
                <w:szCs w:val="18"/>
              </w:rPr>
            </w:pPr>
            <w:r w:rsidRPr="0082488A">
              <w:rPr>
                <w:sz w:val="18"/>
                <w:szCs w:val="18"/>
              </w:rPr>
              <w:t>Target Group</w:t>
            </w:r>
          </w:p>
        </w:tc>
        <w:tc>
          <w:tcPr>
            <w:tcW w:w="3696" w:type="dxa"/>
            <w:shd w:val="clear" w:color="auto" w:fill="660033"/>
            <w:vAlign w:val="center"/>
          </w:tcPr>
          <w:p w14:paraId="33CCFE2C" w14:textId="77777777" w:rsidR="00DA6940" w:rsidRPr="0082488A" w:rsidRDefault="00DA6940" w:rsidP="00553D1C">
            <w:pPr>
              <w:jc w:val="center"/>
              <w:rPr>
                <w:sz w:val="18"/>
                <w:szCs w:val="18"/>
              </w:rPr>
            </w:pPr>
            <w:r w:rsidRPr="0082488A">
              <w:rPr>
                <w:sz w:val="18"/>
                <w:szCs w:val="18"/>
              </w:rPr>
              <w:t>Purpose</w:t>
            </w:r>
          </w:p>
        </w:tc>
        <w:tc>
          <w:tcPr>
            <w:tcW w:w="1418" w:type="dxa"/>
            <w:shd w:val="clear" w:color="auto" w:fill="660033"/>
            <w:vAlign w:val="center"/>
          </w:tcPr>
          <w:p w14:paraId="33CCFE2D" w14:textId="77777777" w:rsidR="00DA6940" w:rsidRPr="0082488A" w:rsidRDefault="00DA6940" w:rsidP="00553D1C">
            <w:pPr>
              <w:jc w:val="center"/>
              <w:rPr>
                <w:sz w:val="18"/>
                <w:szCs w:val="18"/>
              </w:rPr>
            </w:pPr>
            <w:r w:rsidRPr="0082488A">
              <w:rPr>
                <w:sz w:val="18"/>
                <w:szCs w:val="18"/>
              </w:rPr>
              <w:t>Pupil Premium Contribution</w:t>
            </w:r>
          </w:p>
        </w:tc>
      </w:tr>
      <w:tr w:rsidR="00DA6940" w:rsidRPr="0082488A" w14:paraId="33CCFE38" w14:textId="77777777" w:rsidTr="00505FC0">
        <w:trPr>
          <w:cantSplit/>
          <w:trHeight w:val="1157"/>
        </w:trPr>
        <w:tc>
          <w:tcPr>
            <w:tcW w:w="599" w:type="dxa"/>
            <w:vMerge w:val="restart"/>
            <w:shd w:val="clear" w:color="auto" w:fill="660033"/>
            <w:textDirection w:val="btLr"/>
            <w:vAlign w:val="center"/>
          </w:tcPr>
          <w:p w14:paraId="33CCFE2F" w14:textId="77777777" w:rsidR="00DA6940" w:rsidRPr="0082488A" w:rsidRDefault="00DA6940" w:rsidP="00553D1C">
            <w:pPr>
              <w:ind w:left="180" w:right="113"/>
              <w:jc w:val="center"/>
              <w:rPr>
                <w:sz w:val="18"/>
                <w:szCs w:val="18"/>
              </w:rPr>
            </w:pPr>
            <w:r w:rsidRPr="0082488A">
              <w:rPr>
                <w:sz w:val="18"/>
                <w:szCs w:val="18"/>
              </w:rPr>
              <w:t>Social, Mental and Emotional Wellbeing</w:t>
            </w:r>
          </w:p>
        </w:tc>
        <w:tc>
          <w:tcPr>
            <w:tcW w:w="2236" w:type="dxa"/>
            <w:vAlign w:val="center"/>
          </w:tcPr>
          <w:p w14:paraId="33CCFE30" w14:textId="77777777" w:rsidR="00DA6940" w:rsidRPr="0082488A" w:rsidRDefault="00DA6940" w:rsidP="00DA6940">
            <w:pPr>
              <w:rPr>
                <w:b/>
                <w:sz w:val="18"/>
                <w:szCs w:val="18"/>
              </w:rPr>
            </w:pPr>
            <w:r w:rsidRPr="0082488A">
              <w:rPr>
                <w:b/>
                <w:sz w:val="18"/>
                <w:szCs w:val="18"/>
              </w:rPr>
              <w:t>Parent Support Advisor</w:t>
            </w:r>
          </w:p>
          <w:p w14:paraId="33CCFE31" w14:textId="1E8A939D" w:rsidR="00DA6940" w:rsidRPr="0082488A" w:rsidRDefault="00DA6940" w:rsidP="00DA6940">
            <w:pPr>
              <w:rPr>
                <w:sz w:val="18"/>
                <w:szCs w:val="18"/>
              </w:rPr>
            </w:pPr>
            <w:r w:rsidRPr="0082488A">
              <w:rPr>
                <w:sz w:val="18"/>
                <w:szCs w:val="18"/>
              </w:rPr>
              <w:t>Provision of SEAL Group Interventions, Star Time, Lego Therapy, home visits and the ‘Positive Parenting Programme.’</w:t>
            </w:r>
          </w:p>
        </w:tc>
        <w:tc>
          <w:tcPr>
            <w:tcW w:w="5236" w:type="dxa"/>
            <w:vAlign w:val="center"/>
          </w:tcPr>
          <w:p w14:paraId="055CA36D" w14:textId="05BEA294" w:rsidR="00DA6940" w:rsidRPr="0082488A" w:rsidRDefault="00DA6940" w:rsidP="00DA6940">
            <w:pPr>
              <w:pStyle w:val="BodyBullet"/>
              <w:rPr>
                <w:rFonts w:asciiTheme="minorHAnsi" w:hAnsiTheme="minorHAnsi"/>
                <w:b/>
                <w:sz w:val="18"/>
                <w:szCs w:val="18"/>
              </w:rPr>
            </w:pPr>
            <w:r w:rsidRPr="0082488A">
              <w:rPr>
                <w:rFonts w:asciiTheme="minorHAnsi" w:hAnsiTheme="minorHAnsi"/>
                <w:b/>
                <w:sz w:val="18"/>
                <w:szCs w:val="18"/>
              </w:rPr>
              <w:t>Behaviour interventions (+4</w:t>
            </w:r>
            <w:r w:rsidR="0082488A">
              <w:rPr>
                <w:rFonts w:asciiTheme="minorHAnsi" w:hAnsiTheme="minorHAnsi"/>
                <w:b/>
                <w:sz w:val="18"/>
                <w:szCs w:val="18"/>
              </w:rPr>
              <w:t xml:space="preserve"> months</w:t>
            </w:r>
            <w:r w:rsidRPr="0082488A">
              <w:rPr>
                <w:rFonts w:asciiTheme="minorHAnsi" w:hAnsiTheme="minorHAnsi"/>
                <w:b/>
                <w:sz w:val="18"/>
                <w:szCs w:val="18"/>
              </w:rPr>
              <w:t>)</w:t>
            </w:r>
          </w:p>
          <w:p w14:paraId="62933F61" w14:textId="76D8D6BA" w:rsidR="00DA6940" w:rsidRPr="0082488A" w:rsidRDefault="00DA6940" w:rsidP="00DA6940">
            <w:pPr>
              <w:pStyle w:val="BodyBullet"/>
              <w:rPr>
                <w:rFonts w:asciiTheme="minorHAnsi" w:hAnsiTheme="minorHAnsi"/>
                <w:sz w:val="18"/>
                <w:szCs w:val="18"/>
              </w:rPr>
            </w:pPr>
            <w:r w:rsidRPr="0082488A">
              <w:rPr>
                <w:rFonts w:asciiTheme="minorHAnsi" w:hAnsiTheme="minorHAnsi"/>
                <w:sz w:val="18"/>
                <w:szCs w:val="18"/>
              </w:rPr>
              <w:t>Evidence suggests that behaviour interventions can produce large improvements in academic performance along with a decrease in problematic behaviours, though estimated benefits vary widely across programmes. Effect sizes are larger for targeted interventions matched to specific students with particular needs or behavioural issues, than for universal interventions or whole school strategies.</w:t>
            </w:r>
          </w:p>
          <w:p w14:paraId="7A559276" w14:textId="0EF1A7CB" w:rsidR="00DA6940" w:rsidRPr="0082488A" w:rsidRDefault="00DA6940" w:rsidP="00DA6940">
            <w:pPr>
              <w:pStyle w:val="BodyBullet"/>
              <w:rPr>
                <w:rFonts w:asciiTheme="minorHAnsi" w:hAnsiTheme="minorHAnsi"/>
                <w:b/>
                <w:sz w:val="18"/>
                <w:szCs w:val="18"/>
              </w:rPr>
            </w:pPr>
            <w:r w:rsidRPr="0082488A">
              <w:rPr>
                <w:rFonts w:asciiTheme="minorHAnsi" w:hAnsiTheme="minorHAnsi"/>
                <w:b/>
                <w:sz w:val="18"/>
                <w:szCs w:val="18"/>
              </w:rPr>
              <w:t>Social and Emotional Learning (+4</w:t>
            </w:r>
            <w:r w:rsidR="0082488A">
              <w:rPr>
                <w:rFonts w:asciiTheme="minorHAnsi" w:hAnsiTheme="minorHAnsi"/>
                <w:b/>
                <w:sz w:val="18"/>
                <w:szCs w:val="18"/>
              </w:rPr>
              <w:t xml:space="preserve"> months</w:t>
            </w:r>
            <w:r w:rsidRPr="0082488A">
              <w:rPr>
                <w:rFonts w:asciiTheme="minorHAnsi" w:hAnsiTheme="minorHAnsi"/>
                <w:b/>
                <w:sz w:val="18"/>
                <w:szCs w:val="18"/>
              </w:rPr>
              <w:t>)</w:t>
            </w:r>
          </w:p>
          <w:p w14:paraId="3CCD85B6" w14:textId="4A141B53" w:rsidR="00DA6940" w:rsidRPr="0082488A" w:rsidRDefault="00DA6940" w:rsidP="00DA6940">
            <w:pPr>
              <w:pStyle w:val="BodyBullet"/>
              <w:rPr>
                <w:rFonts w:asciiTheme="minorHAnsi" w:hAnsiTheme="minorHAnsi"/>
                <w:sz w:val="18"/>
                <w:szCs w:val="18"/>
              </w:rPr>
            </w:pPr>
            <w:r w:rsidRPr="0082488A">
              <w:rPr>
                <w:rFonts w:asciiTheme="minorHAnsi" w:hAnsiTheme="minorHAnsi"/>
                <w:sz w:val="18"/>
                <w:szCs w:val="18"/>
              </w:rPr>
              <w:t>On average, SEL interventions have an identifiable and significant impact on attitudes to learning, social relationships in school, and attainment itself (four months' additional progress on average).</w:t>
            </w:r>
          </w:p>
        </w:tc>
        <w:tc>
          <w:tcPr>
            <w:tcW w:w="1274" w:type="dxa"/>
            <w:vAlign w:val="center"/>
          </w:tcPr>
          <w:p w14:paraId="33CCFE32" w14:textId="6B692C18" w:rsidR="00DA6940" w:rsidRPr="0082488A" w:rsidRDefault="00DA6940" w:rsidP="00505FC0">
            <w:pPr>
              <w:pStyle w:val="BodyBullet"/>
              <w:ind w:left="180"/>
              <w:jc w:val="center"/>
              <w:rPr>
                <w:rFonts w:asciiTheme="minorHAnsi" w:hAnsiTheme="minorHAnsi"/>
                <w:sz w:val="18"/>
                <w:szCs w:val="18"/>
              </w:rPr>
            </w:pPr>
            <w:r w:rsidRPr="0082488A">
              <w:rPr>
                <w:rFonts w:asciiTheme="minorHAnsi" w:hAnsiTheme="minorHAnsi"/>
                <w:sz w:val="18"/>
                <w:szCs w:val="18"/>
              </w:rPr>
              <w:t>All pupils</w:t>
            </w:r>
          </w:p>
        </w:tc>
        <w:tc>
          <w:tcPr>
            <w:tcW w:w="3696" w:type="dxa"/>
            <w:vAlign w:val="center"/>
          </w:tcPr>
          <w:p w14:paraId="0862F786" w14:textId="4804899E" w:rsidR="00617CAD" w:rsidRPr="00617CAD" w:rsidRDefault="00DA6940" w:rsidP="00617CAD">
            <w:pPr>
              <w:pStyle w:val="ListParagraph"/>
              <w:numPr>
                <w:ilvl w:val="0"/>
                <w:numId w:val="11"/>
              </w:numPr>
              <w:rPr>
                <w:sz w:val="18"/>
                <w:szCs w:val="18"/>
              </w:rPr>
            </w:pPr>
            <w:r w:rsidRPr="00617CAD">
              <w:rPr>
                <w:sz w:val="18"/>
                <w:szCs w:val="18"/>
              </w:rPr>
              <w:t>Support pupils with behavioural and emotional difficulties</w:t>
            </w:r>
            <w:r w:rsidR="00617CAD">
              <w:rPr>
                <w:sz w:val="18"/>
                <w:szCs w:val="18"/>
              </w:rPr>
              <w:t>.</w:t>
            </w:r>
          </w:p>
          <w:p w14:paraId="0454497F" w14:textId="6E8E977D" w:rsidR="00617CAD" w:rsidRPr="00617CAD" w:rsidRDefault="00DA6940" w:rsidP="00617CAD">
            <w:pPr>
              <w:pStyle w:val="ListParagraph"/>
              <w:numPr>
                <w:ilvl w:val="0"/>
                <w:numId w:val="11"/>
              </w:numPr>
              <w:rPr>
                <w:sz w:val="18"/>
                <w:szCs w:val="18"/>
              </w:rPr>
            </w:pPr>
            <w:r w:rsidRPr="00617CAD">
              <w:rPr>
                <w:sz w:val="18"/>
                <w:szCs w:val="18"/>
              </w:rPr>
              <w:t>Provide support for the families of eligible pupils</w:t>
            </w:r>
            <w:r w:rsidR="00617CAD">
              <w:rPr>
                <w:sz w:val="18"/>
                <w:szCs w:val="18"/>
              </w:rPr>
              <w:t>.</w:t>
            </w:r>
          </w:p>
          <w:p w14:paraId="0A4EC734" w14:textId="6FA32DFB" w:rsidR="00617CAD" w:rsidRPr="00617CAD" w:rsidRDefault="00DA6940" w:rsidP="00617CAD">
            <w:pPr>
              <w:pStyle w:val="ListParagraph"/>
              <w:numPr>
                <w:ilvl w:val="0"/>
                <w:numId w:val="11"/>
              </w:numPr>
              <w:rPr>
                <w:sz w:val="18"/>
                <w:szCs w:val="18"/>
              </w:rPr>
            </w:pPr>
            <w:r w:rsidRPr="00617CAD">
              <w:rPr>
                <w:sz w:val="18"/>
                <w:szCs w:val="18"/>
              </w:rPr>
              <w:t>Improve pupil’s attitudes towards self and school</w:t>
            </w:r>
            <w:r w:rsidR="00617CAD">
              <w:rPr>
                <w:sz w:val="18"/>
                <w:szCs w:val="18"/>
              </w:rPr>
              <w:t>.</w:t>
            </w:r>
          </w:p>
          <w:p w14:paraId="33CCFE36" w14:textId="5D0C6295" w:rsidR="00DA6940" w:rsidRPr="00617CAD" w:rsidRDefault="00DA6940" w:rsidP="00617CAD">
            <w:pPr>
              <w:pStyle w:val="ListParagraph"/>
              <w:numPr>
                <w:ilvl w:val="0"/>
                <w:numId w:val="11"/>
              </w:numPr>
              <w:rPr>
                <w:sz w:val="18"/>
                <w:szCs w:val="18"/>
              </w:rPr>
            </w:pPr>
            <w:r w:rsidRPr="00617CAD">
              <w:rPr>
                <w:sz w:val="18"/>
                <w:szCs w:val="18"/>
              </w:rPr>
              <w:t>Improve academic outcomes for eligible pupils</w:t>
            </w:r>
          </w:p>
        </w:tc>
        <w:tc>
          <w:tcPr>
            <w:tcW w:w="1418" w:type="dxa"/>
            <w:vAlign w:val="center"/>
          </w:tcPr>
          <w:p w14:paraId="33CCFE37" w14:textId="4890B194" w:rsidR="00DA6940" w:rsidRPr="0045387A" w:rsidRDefault="0045387A" w:rsidP="00DA6940">
            <w:pPr>
              <w:ind w:left="180"/>
              <w:jc w:val="center"/>
              <w:rPr>
                <w:b/>
                <w:sz w:val="18"/>
                <w:szCs w:val="18"/>
              </w:rPr>
            </w:pPr>
            <w:r w:rsidRPr="0045387A">
              <w:rPr>
                <w:b/>
                <w:sz w:val="18"/>
                <w:szCs w:val="18"/>
              </w:rPr>
              <w:t>£13,500</w:t>
            </w:r>
          </w:p>
        </w:tc>
      </w:tr>
      <w:tr w:rsidR="00DA6940" w:rsidRPr="0082488A" w14:paraId="33CCFE41" w14:textId="77777777" w:rsidTr="00505FC0">
        <w:trPr>
          <w:cantSplit/>
          <w:trHeight w:val="1157"/>
        </w:trPr>
        <w:tc>
          <w:tcPr>
            <w:tcW w:w="599" w:type="dxa"/>
            <w:vMerge/>
            <w:shd w:val="clear" w:color="auto" w:fill="660033"/>
            <w:textDirection w:val="btLr"/>
            <w:vAlign w:val="center"/>
          </w:tcPr>
          <w:p w14:paraId="33CCFE39" w14:textId="77777777" w:rsidR="00DA6940" w:rsidRPr="0082488A" w:rsidRDefault="00DA6940" w:rsidP="00553D1C">
            <w:pPr>
              <w:ind w:left="180" w:right="113"/>
              <w:jc w:val="center"/>
              <w:rPr>
                <w:sz w:val="18"/>
                <w:szCs w:val="18"/>
              </w:rPr>
            </w:pPr>
          </w:p>
        </w:tc>
        <w:tc>
          <w:tcPr>
            <w:tcW w:w="2236" w:type="dxa"/>
            <w:vAlign w:val="center"/>
          </w:tcPr>
          <w:p w14:paraId="33CCFE3A" w14:textId="77777777" w:rsidR="00DA6940" w:rsidRPr="0082488A" w:rsidRDefault="00DA6940" w:rsidP="00553D1C">
            <w:pPr>
              <w:rPr>
                <w:b/>
                <w:sz w:val="18"/>
                <w:szCs w:val="18"/>
              </w:rPr>
            </w:pPr>
            <w:r w:rsidRPr="0082488A">
              <w:rPr>
                <w:b/>
                <w:sz w:val="18"/>
                <w:szCs w:val="18"/>
              </w:rPr>
              <w:t>Attendance Officer</w:t>
            </w:r>
          </w:p>
          <w:p w14:paraId="33CCFE3B" w14:textId="77777777" w:rsidR="00DA6940" w:rsidRPr="0082488A" w:rsidRDefault="00DA6940" w:rsidP="00553D1C">
            <w:pPr>
              <w:rPr>
                <w:sz w:val="18"/>
                <w:szCs w:val="18"/>
              </w:rPr>
            </w:pPr>
            <w:r w:rsidRPr="0082488A">
              <w:rPr>
                <w:sz w:val="18"/>
                <w:szCs w:val="18"/>
              </w:rPr>
              <w:t>Administration tasks relating to attendance, e.g. monthly meetings, attendance reports, certificates and rewards.</w:t>
            </w:r>
          </w:p>
          <w:p w14:paraId="33CCFE3C" w14:textId="07429DB3" w:rsidR="00DA6940" w:rsidRPr="0082488A" w:rsidRDefault="00505FC0" w:rsidP="00553D1C">
            <w:pPr>
              <w:rPr>
                <w:sz w:val="18"/>
                <w:szCs w:val="18"/>
              </w:rPr>
            </w:pPr>
            <w:r>
              <w:rPr>
                <w:sz w:val="18"/>
                <w:szCs w:val="18"/>
              </w:rPr>
              <w:t>(Approx. 1.5 hours per w</w:t>
            </w:r>
            <w:r w:rsidR="00DA6940" w:rsidRPr="0082488A">
              <w:rPr>
                <w:sz w:val="18"/>
                <w:szCs w:val="18"/>
              </w:rPr>
              <w:t>k)</w:t>
            </w:r>
          </w:p>
        </w:tc>
        <w:tc>
          <w:tcPr>
            <w:tcW w:w="5236" w:type="dxa"/>
            <w:shd w:val="clear" w:color="auto" w:fill="F2F2F2" w:themeFill="background1" w:themeFillShade="F2"/>
          </w:tcPr>
          <w:p w14:paraId="206EBE5E" w14:textId="443F847D" w:rsidR="00DA6940" w:rsidRPr="0082488A" w:rsidRDefault="00DA6940" w:rsidP="00F7045E">
            <w:pPr>
              <w:pStyle w:val="BodyBullet"/>
              <w:rPr>
                <w:rFonts w:asciiTheme="minorHAnsi" w:hAnsiTheme="minorHAnsi"/>
                <w:sz w:val="18"/>
                <w:szCs w:val="18"/>
              </w:rPr>
            </w:pPr>
          </w:p>
        </w:tc>
        <w:tc>
          <w:tcPr>
            <w:tcW w:w="1274" w:type="dxa"/>
            <w:vAlign w:val="center"/>
          </w:tcPr>
          <w:p w14:paraId="33CCFE3D" w14:textId="338F6DA9" w:rsidR="00DA6940" w:rsidRPr="0082488A" w:rsidRDefault="00DA6940" w:rsidP="00505FC0">
            <w:pPr>
              <w:ind w:left="180"/>
              <w:jc w:val="center"/>
              <w:rPr>
                <w:sz w:val="18"/>
                <w:szCs w:val="18"/>
              </w:rPr>
            </w:pPr>
            <w:r w:rsidRPr="0082488A">
              <w:rPr>
                <w:sz w:val="18"/>
                <w:szCs w:val="18"/>
              </w:rPr>
              <w:t>Eligible pupils with low attendance.</w:t>
            </w:r>
          </w:p>
        </w:tc>
        <w:tc>
          <w:tcPr>
            <w:tcW w:w="3696" w:type="dxa"/>
            <w:vAlign w:val="center"/>
          </w:tcPr>
          <w:p w14:paraId="33CCFE3F" w14:textId="07BFF8E6" w:rsidR="00DA6940" w:rsidRPr="00617CAD" w:rsidRDefault="00DA6940" w:rsidP="00617CAD">
            <w:pPr>
              <w:pStyle w:val="ListParagraph"/>
              <w:numPr>
                <w:ilvl w:val="0"/>
                <w:numId w:val="11"/>
              </w:numPr>
              <w:rPr>
                <w:sz w:val="18"/>
                <w:szCs w:val="18"/>
              </w:rPr>
            </w:pPr>
            <w:r w:rsidRPr="00617CAD">
              <w:rPr>
                <w:sz w:val="18"/>
                <w:szCs w:val="18"/>
              </w:rPr>
              <w:t>Respond to attendance data which indicates that Pupil Premium attendance is currently lower than any other vulnerable group within school</w:t>
            </w:r>
            <w:r w:rsidR="00617CAD">
              <w:rPr>
                <w:sz w:val="18"/>
                <w:szCs w:val="18"/>
              </w:rPr>
              <w:t>.</w:t>
            </w:r>
          </w:p>
        </w:tc>
        <w:tc>
          <w:tcPr>
            <w:tcW w:w="1418" w:type="dxa"/>
            <w:vAlign w:val="center"/>
          </w:tcPr>
          <w:p w14:paraId="33CCFE40" w14:textId="076D5D9C" w:rsidR="00DA6940" w:rsidRPr="0045387A" w:rsidRDefault="00DA6940" w:rsidP="009A49C9">
            <w:pPr>
              <w:ind w:left="180"/>
              <w:jc w:val="center"/>
              <w:rPr>
                <w:b/>
                <w:sz w:val="18"/>
                <w:szCs w:val="18"/>
              </w:rPr>
            </w:pPr>
            <w:r w:rsidRPr="0045387A">
              <w:rPr>
                <w:b/>
                <w:sz w:val="18"/>
                <w:szCs w:val="18"/>
              </w:rPr>
              <w:t>£1,000</w:t>
            </w:r>
          </w:p>
        </w:tc>
      </w:tr>
      <w:tr w:rsidR="00DA6940" w:rsidRPr="0082488A" w14:paraId="33CCFE4A" w14:textId="77777777" w:rsidTr="00505FC0">
        <w:trPr>
          <w:cantSplit/>
          <w:trHeight w:val="433"/>
        </w:trPr>
        <w:tc>
          <w:tcPr>
            <w:tcW w:w="599" w:type="dxa"/>
            <w:vMerge/>
            <w:shd w:val="clear" w:color="auto" w:fill="660033"/>
            <w:textDirection w:val="btLr"/>
            <w:vAlign w:val="center"/>
          </w:tcPr>
          <w:p w14:paraId="33CCFE42" w14:textId="77777777" w:rsidR="00DA6940" w:rsidRPr="0082488A" w:rsidRDefault="00DA6940" w:rsidP="00553D1C">
            <w:pPr>
              <w:ind w:left="180" w:right="113"/>
              <w:jc w:val="center"/>
              <w:rPr>
                <w:sz w:val="18"/>
                <w:szCs w:val="18"/>
              </w:rPr>
            </w:pPr>
          </w:p>
        </w:tc>
        <w:tc>
          <w:tcPr>
            <w:tcW w:w="2236" w:type="dxa"/>
            <w:vAlign w:val="center"/>
          </w:tcPr>
          <w:p w14:paraId="33CCFE43" w14:textId="77777777" w:rsidR="00DA6940" w:rsidRPr="0082488A" w:rsidRDefault="00DA6940" w:rsidP="00553D1C">
            <w:pPr>
              <w:rPr>
                <w:b/>
                <w:sz w:val="18"/>
                <w:szCs w:val="18"/>
              </w:rPr>
            </w:pPr>
            <w:r w:rsidRPr="0082488A">
              <w:rPr>
                <w:b/>
                <w:sz w:val="18"/>
                <w:szCs w:val="18"/>
              </w:rPr>
              <w:t>Breakfast Club Provision</w:t>
            </w:r>
          </w:p>
          <w:p w14:paraId="33CCFE44" w14:textId="77777777" w:rsidR="00DA6940" w:rsidRPr="0082488A" w:rsidRDefault="00DA6940" w:rsidP="00553D1C">
            <w:pPr>
              <w:rPr>
                <w:b/>
                <w:sz w:val="18"/>
                <w:szCs w:val="18"/>
              </w:rPr>
            </w:pPr>
            <w:r w:rsidRPr="0082488A">
              <w:rPr>
                <w:sz w:val="18"/>
                <w:szCs w:val="18"/>
              </w:rPr>
              <w:t>The school pays for eligible pupils to attend Breakfast Club during term time.</w:t>
            </w:r>
          </w:p>
        </w:tc>
        <w:tc>
          <w:tcPr>
            <w:tcW w:w="5236" w:type="dxa"/>
          </w:tcPr>
          <w:p w14:paraId="0D9AFB38" w14:textId="302F24F0" w:rsidR="00F7045E" w:rsidRPr="0082488A" w:rsidRDefault="00F7045E" w:rsidP="00F7045E">
            <w:pPr>
              <w:pStyle w:val="BodyBullet"/>
              <w:rPr>
                <w:rFonts w:asciiTheme="minorHAnsi" w:hAnsiTheme="minorHAnsi"/>
                <w:b/>
                <w:sz w:val="18"/>
                <w:szCs w:val="18"/>
              </w:rPr>
            </w:pPr>
            <w:r w:rsidRPr="0082488A">
              <w:rPr>
                <w:rFonts w:asciiTheme="minorHAnsi" w:hAnsiTheme="minorHAnsi"/>
                <w:b/>
                <w:sz w:val="18"/>
                <w:szCs w:val="18"/>
              </w:rPr>
              <w:t>Extending School Time (+2</w:t>
            </w:r>
            <w:r w:rsidR="0082488A">
              <w:rPr>
                <w:rFonts w:asciiTheme="minorHAnsi" w:hAnsiTheme="minorHAnsi"/>
                <w:b/>
                <w:sz w:val="18"/>
                <w:szCs w:val="18"/>
              </w:rPr>
              <w:t xml:space="preserve"> months</w:t>
            </w:r>
            <w:r w:rsidRPr="0082488A">
              <w:rPr>
                <w:rFonts w:asciiTheme="minorHAnsi" w:hAnsiTheme="minorHAnsi"/>
                <w:b/>
                <w:sz w:val="18"/>
                <w:szCs w:val="18"/>
              </w:rPr>
              <w:t>)</w:t>
            </w:r>
          </w:p>
          <w:p w14:paraId="33AD4C16" w14:textId="0AFCBD46" w:rsidR="00F7045E" w:rsidRPr="0082488A" w:rsidRDefault="00F7045E" w:rsidP="00F7045E">
            <w:pPr>
              <w:pStyle w:val="BodyBullet"/>
              <w:rPr>
                <w:rFonts w:asciiTheme="minorHAnsi" w:hAnsiTheme="minorHAnsi"/>
                <w:sz w:val="18"/>
                <w:szCs w:val="18"/>
              </w:rPr>
            </w:pPr>
            <w:r w:rsidRPr="0082488A">
              <w:rPr>
                <w:rFonts w:asciiTheme="minorHAnsi" w:hAnsiTheme="minorHAnsi"/>
                <w:sz w:val="18"/>
                <w:szCs w:val="18"/>
              </w:rPr>
              <w:t>Overall, the evidence indicates that, on average, pupils make two additional months' progress per year from extended school time or the targeted use of before and after school programmes. There is some evidence that disadvantaged pupils benefit disproportionately, making approximately two and a half months’ additional progress. There are also often wider benefits for low-income students in terms of attendance at school, behaviour and relationships with peers.</w:t>
            </w:r>
          </w:p>
          <w:p w14:paraId="6D0B0F76" w14:textId="26EED6A5" w:rsidR="00F7045E" w:rsidRPr="0082488A" w:rsidRDefault="00F7045E" w:rsidP="00F7045E">
            <w:pPr>
              <w:pStyle w:val="BodyBullet"/>
              <w:rPr>
                <w:rFonts w:asciiTheme="minorHAnsi" w:hAnsiTheme="minorHAnsi"/>
                <w:sz w:val="18"/>
                <w:szCs w:val="18"/>
              </w:rPr>
            </w:pPr>
          </w:p>
        </w:tc>
        <w:tc>
          <w:tcPr>
            <w:tcW w:w="1274" w:type="dxa"/>
            <w:vAlign w:val="center"/>
          </w:tcPr>
          <w:p w14:paraId="33CCFE45" w14:textId="5389EB0C" w:rsidR="00DA6940" w:rsidRPr="0082488A" w:rsidRDefault="00DA6940" w:rsidP="00505FC0">
            <w:pPr>
              <w:ind w:left="180"/>
              <w:jc w:val="center"/>
              <w:rPr>
                <w:sz w:val="18"/>
                <w:szCs w:val="18"/>
              </w:rPr>
            </w:pPr>
            <w:r w:rsidRPr="0082488A">
              <w:rPr>
                <w:sz w:val="18"/>
                <w:szCs w:val="18"/>
              </w:rPr>
              <w:t>All eligible pupils</w:t>
            </w:r>
          </w:p>
        </w:tc>
        <w:tc>
          <w:tcPr>
            <w:tcW w:w="3696" w:type="dxa"/>
            <w:vAlign w:val="center"/>
          </w:tcPr>
          <w:p w14:paraId="13649C96" w14:textId="5516680D" w:rsidR="00617CAD" w:rsidRPr="00617CAD" w:rsidRDefault="00DA6940" w:rsidP="00617CAD">
            <w:pPr>
              <w:pStyle w:val="ListParagraph"/>
              <w:numPr>
                <w:ilvl w:val="0"/>
                <w:numId w:val="11"/>
              </w:numPr>
              <w:rPr>
                <w:sz w:val="18"/>
                <w:szCs w:val="18"/>
              </w:rPr>
            </w:pPr>
            <w:r w:rsidRPr="00617CAD">
              <w:rPr>
                <w:sz w:val="18"/>
                <w:szCs w:val="18"/>
              </w:rPr>
              <w:t>Provide a nourishing breakfast and activities prior to the school day</w:t>
            </w:r>
            <w:r w:rsidR="00617CAD" w:rsidRPr="00617CAD">
              <w:rPr>
                <w:sz w:val="18"/>
                <w:szCs w:val="18"/>
              </w:rPr>
              <w:t>.</w:t>
            </w:r>
          </w:p>
          <w:p w14:paraId="359051D6" w14:textId="11D41961" w:rsidR="00617CAD" w:rsidRPr="00617CAD" w:rsidRDefault="00F7045E" w:rsidP="00617CAD">
            <w:pPr>
              <w:pStyle w:val="ListParagraph"/>
              <w:numPr>
                <w:ilvl w:val="0"/>
                <w:numId w:val="11"/>
              </w:numPr>
              <w:rPr>
                <w:sz w:val="18"/>
                <w:szCs w:val="18"/>
              </w:rPr>
            </w:pPr>
            <w:r w:rsidRPr="00617CAD">
              <w:rPr>
                <w:sz w:val="18"/>
                <w:szCs w:val="18"/>
              </w:rPr>
              <w:t>Respond to attendance data which indicates that Pupil Premium attendance is currently lower than any other vulnerable group within school</w:t>
            </w:r>
            <w:r w:rsidR="00617CAD" w:rsidRPr="00617CAD">
              <w:rPr>
                <w:sz w:val="18"/>
                <w:szCs w:val="18"/>
              </w:rPr>
              <w:t>.</w:t>
            </w:r>
          </w:p>
          <w:p w14:paraId="7892AD1D" w14:textId="3AA15A49" w:rsidR="00617CAD" w:rsidRPr="00617CAD" w:rsidRDefault="00F7045E" w:rsidP="00617CAD">
            <w:pPr>
              <w:pStyle w:val="ListParagraph"/>
              <w:numPr>
                <w:ilvl w:val="0"/>
                <w:numId w:val="11"/>
              </w:numPr>
              <w:rPr>
                <w:sz w:val="18"/>
                <w:szCs w:val="18"/>
              </w:rPr>
            </w:pPr>
            <w:r w:rsidRPr="00617CAD">
              <w:rPr>
                <w:sz w:val="18"/>
                <w:szCs w:val="18"/>
              </w:rPr>
              <w:t>Support and promote regular school attendance</w:t>
            </w:r>
            <w:r w:rsidR="00617CAD" w:rsidRPr="00617CAD">
              <w:rPr>
                <w:sz w:val="18"/>
                <w:szCs w:val="18"/>
              </w:rPr>
              <w:t xml:space="preserve"> and punctuality</w:t>
            </w:r>
            <w:r w:rsidRPr="00617CAD">
              <w:rPr>
                <w:sz w:val="18"/>
                <w:szCs w:val="18"/>
              </w:rPr>
              <w:t xml:space="preserve"> for all eligible pupils</w:t>
            </w:r>
            <w:r w:rsidR="00617CAD" w:rsidRPr="00617CAD">
              <w:rPr>
                <w:sz w:val="18"/>
                <w:szCs w:val="18"/>
              </w:rPr>
              <w:t>.</w:t>
            </w:r>
          </w:p>
          <w:p w14:paraId="33CCFE48" w14:textId="36766F25" w:rsidR="00DA6940" w:rsidRPr="00617CAD" w:rsidRDefault="00DA6940" w:rsidP="00617CAD">
            <w:pPr>
              <w:pStyle w:val="ListParagraph"/>
              <w:numPr>
                <w:ilvl w:val="0"/>
                <w:numId w:val="11"/>
              </w:numPr>
              <w:rPr>
                <w:sz w:val="18"/>
                <w:szCs w:val="18"/>
              </w:rPr>
            </w:pPr>
            <w:r w:rsidRPr="00617CAD">
              <w:rPr>
                <w:sz w:val="18"/>
                <w:szCs w:val="18"/>
              </w:rPr>
              <w:t>Improve academic outcomes for eligible pupils</w:t>
            </w:r>
          </w:p>
        </w:tc>
        <w:tc>
          <w:tcPr>
            <w:tcW w:w="1418" w:type="dxa"/>
            <w:vAlign w:val="center"/>
          </w:tcPr>
          <w:p w14:paraId="33CCFE49" w14:textId="7EABC795" w:rsidR="00617CAD" w:rsidRPr="0045387A" w:rsidRDefault="0045387A" w:rsidP="009A49C9">
            <w:pPr>
              <w:ind w:left="180"/>
              <w:jc w:val="center"/>
              <w:rPr>
                <w:b/>
                <w:sz w:val="18"/>
                <w:szCs w:val="18"/>
              </w:rPr>
            </w:pPr>
            <w:r w:rsidRPr="0045387A">
              <w:rPr>
                <w:b/>
                <w:sz w:val="18"/>
                <w:szCs w:val="18"/>
              </w:rPr>
              <w:t>£8,200</w:t>
            </w:r>
          </w:p>
        </w:tc>
      </w:tr>
    </w:tbl>
    <w:p w14:paraId="33CCFE57" w14:textId="77777777" w:rsidR="008B5F7E" w:rsidRPr="0082488A" w:rsidRDefault="008B5F7E" w:rsidP="007F18E2">
      <w:pPr>
        <w:rPr>
          <w:sz w:val="18"/>
          <w:szCs w:val="18"/>
        </w:rPr>
      </w:pPr>
      <w:r w:rsidRPr="0082488A">
        <w:rPr>
          <w:sz w:val="18"/>
          <w:szCs w:val="18"/>
        </w:rPr>
        <w:br w:type="page"/>
      </w:r>
    </w:p>
    <w:tbl>
      <w:tblPr>
        <w:tblStyle w:val="TableGrid"/>
        <w:tblpPr w:leftFromText="180" w:rightFromText="180" w:vertAnchor="page" w:horzAnchor="margin" w:tblpY="1966"/>
        <w:tblW w:w="14454" w:type="dxa"/>
        <w:tblLook w:val="04A0" w:firstRow="1" w:lastRow="0" w:firstColumn="1" w:lastColumn="0" w:noHBand="0" w:noVBand="1"/>
      </w:tblPr>
      <w:tblGrid>
        <w:gridCol w:w="688"/>
        <w:gridCol w:w="2052"/>
        <w:gridCol w:w="5176"/>
        <w:gridCol w:w="1264"/>
        <w:gridCol w:w="3616"/>
        <w:gridCol w:w="1658"/>
      </w:tblGrid>
      <w:tr w:rsidR="00F7045E" w:rsidRPr="0082488A" w14:paraId="33CCFE5E" w14:textId="77777777" w:rsidTr="00505FC0">
        <w:trPr>
          <w:cantSplit/>
          <w:trHeight w:val="1134"/>
        </w:trPr>
        <w:tc>
          <w:tcPr>
            <w:tcW w:w="688" w:type="dxa"/>
            <w:vMerge w:val="restart"/>
            <w:shd w:val="clear" w:color="auto" w:fill="660033"/>
            <w:textDirection w:val="btLr"/>
            <w:vAlign w:val="center"/>
          </w:tcPr>
          <w:p w14:paraId="33CCFE58" w14:textId="77777777" w:rsidR="00F7045E" w:rsidRPr="0082488A" w:rsidRDefault="00F7045E" w:rsidP="002D25F3">
            <w:pPr>
              <w:ind w:left="180" w:right="113"/>
              <w:jc w:val="center"/>
              <w:rPr>
                <w:sz w:val="18"/>
                <w:szCs w:val="18"/>
              </w:rPr>
            </w:pPr>
            <w:bookmarkStart w:id="0" w:name="_GoBack"/>
            <w:bookmarkEnd w:id="0"/>
            <w:r w:rsidRPr="0082488A">
              <w:rPr>
                <w:sz w:val="18"/>
                <w:szCs w:val="18"/>
              </w:rPr>
              <w:lastRenderedPageBreak/>
              <w:t>English and Maths</w:t>
            </w:r>
          </w:p>
        </w:tc>
        <w:tc>
          <w:tcPr>
            <w:tcW w:w="2052" w:type="dxa"/>
            <w:vAlign w:val="center"/>
          </w:tcPr>
          <w:p w14:paraId="33CCFE59" w14:textId="39AD024C" w:rsidR="00F7045E" w:rsidRPr="0082488A" w:rsidRDefault="00F7045E" w:rsidP="006E3ADD">
            <w:pPr>
              <w:rPr>
                <w:b/>
                <w:sz w:val="18"/>
                <w:szCs w:val="18"/>
              </w:rPr>
            </w:pPr>
            <w:r w:rsidRPr="0082488A">
              <w:rPr>
                <w:b/>
                <w:sz w:val="18"/>
                <w:szCs w:val="18"/>
              </w:rPr>
              <w:t>Personalised Learning- Targeted LAC Support</w:t>
            </w:r>
          </w:p>
          <w:p w14:paraId="33CCFE5A" w14:textId="03270CBF" w:rsidR="00F7045E" w:rsidRPr="0082488A" w:rsidRDefault="00F7045E" w:rsidP="006D6124">
            <w:pPr>
              <w:rPr>
                <w:b/>
                <w:sz w:val="18"/>
                <w:szCs w:val="18"/>
              </w:rPr>
            </w:pPr>
            <w:r w:rsidRPr="0082488A">
              <w:rPr>
                <w:sz w:val="18"/>
                <w:szCs w:val="18"/>
              </w:rPr>
              <w:t>Eligible pupils to receive regular, one-to-one support from TA.</w:t>
            </w:r>
          </w:p>
        </w:tc>
        <w:tc>
          <w:tcPr>
            <w:tcW w:w="5176" w:type="dxa"/>
          </w:tcPr>
          <w:p w14:paraId="3023914F" w14:textId="579DA5B7" w:rsidR="00F7045E" w:rsidRPr="0082488A" w:rsidRDefault="00F7045E" w:rsidP="00F7045E">
            <w:pPr>
              <w:pStyle w:val="BodyBullet"/>
              <w:rPr>
                <w:rFonts w:asciiTheme="minorHAnsi" w:hAnsiTheme="minorHAnsi"/>
                <w:b/>
                <w:sz w:val="18"/>
                <w:szCs w:val="18"/>
              </w:rPr>
            </w:pPr>
            <w:r w:rsidRPr="0082488A">
              <w:rPr>
                <w:rFonts w:asciiTheme="minorHAnsi" w:hAnsiTheme="minorHAnsi"/>
                <w:b/>
                <w:sz w:val="18"/>
                <w:szCs w:val="18"/>
              </w:rPr>
              <w:t>One-to-One Tuition (+5</w:t>
            </w:r>
            <w:r w:rsidR="0082488A" w:rsidRPr="0082488A">
              <w:rPr>
                <w:rFonts w:asciiTheme="minorHAnsi" w:hAnsiTheme="minorHAnsi"/>
                <w:b/>
                <w:sz w:val="18"/>
                <w:szCs w:val="18"/>
              </w:rPr>
              <w:t xml:space="preserve"> months</w:t>
            </w:r>
            <w:r w:rsidRPr="0082488A">
              <w:rPr>
                <w:rFonts w:asciiTheme="minorHAnsi" w:hAnsiTheme="minorHAnsi"/>
                <w:b/>
                <w:sz w:val="18"/>
                <w:szCs w:val="18"/>
              </w:rPr>
              <w:t>)</w:t>
            </w:r>
          </w:p>
          <w:p w14:paraId="7432989A" w14:textId="5979C912" w:rsidR="00F7045E" w:rsidRPr="0082488A" w:rsidRDefault="00F7045E" w:rsidP="00F7045E">
            <w:pPr>
              <w:rPr>
                <w:sz w:val="18"/>
                <w:szCs w:val="18"/>
              </w:rPr>
            </w:pPr>
            <w:r w:rsidRPr="0082488A">
              <w:rPr>
                <w:sz w:val="18"/>
                <w:szCs w:val="18"/>
              </w:rPr>
              <w:t>Evidence indicates that one to one tuition can be effective, on average accelerating learning by approximately five additional months’ progress.</w:t>
            </w:r>
          </w:p>
        </w:tc>
        <w:tc>
          <w:tcPr>
            <w:tcW w:w="1264" w:type="dxa"/>
            <w:vAlign w:val="center"/>
          </w:tcPr>
          <w:p w14:paraId="33CCFE5B" w14:textId="67D51279" w:rsidR="00F7045E" w:rsidRPr="0082488A" w:rsidRDefault="00F7045E" w:rsidP="002D25F3">
            <w:pPr>
              <w:ind w:left="180"/>
              <w:rPr>
                <w:sz w:val="18"/>
                <w:szCs w:val="18"/>
              </w:rPr>
            </w:pPr>
            <w:r w:rsidRPr="0082488A">
              <w:rPr>
                <w:sz w:val="18"/>
                <w:szCs w:val="18"/>
              </w:rPr>
              <w:t>Looked After Pupils</w:t>
            </w:r>
          </w:p>
        </w:tc>
        <w:tc>
          <w:tcPr>
            <w:tcW w:w="3616" w:type="dxa"/>
            <w:vAlign w:val="center"/>
          </w:tcPr>
          <w:p w14:paraId="5C62ABA6" w14:textId="77777777" w:rsidR="00F7045E" w:rsidRPr="00617CAD" w:rsidRDefault="00F7045E" w:rsidP="00617CAD">
            <w:pPr>
              <w:pStyle w:val="ListParagraph"/>
              <w:numPr>
                <w:ilvl w:val="0"/>
                <w:numId w:val="11"/>
              </w:numPr>
              <w:rPr>
                <w:sz w:val="18"/>
                <w:szCs w:val="18"/>
              </w:rPr>
            </w:pPr>
            <w:r w:rsidRPr="00617CAD">
              <w:rPr>
                <w:sz w:val="18"/>
                <w:szCs w:val="18"/>
              </w:rPr>
              <w:t>Improve academic outcomes for eligible pupils</w:t>
            </w:r>
          </w:p>
          <w:p w14:paraId="33CCFE5C" w14:textId="4ABE60D7" w:rsidR="00F7045E" w:rsidRPr="00617CAD" w:rsidRDefault="00F7045E" w:rsidP="00617CAD">
            <w:pPr>
              <w:pStyle w:val="ListParagraph"/>
              <w:numPr>
                <w:ilvl w:val="0"/>
                <w:numId w:val="11"/>
              </w:numPr>
              <w:rPr>
                <w:sz w:val="18"/>
                <w:szCs w:val="18"/>
              </w:rPr>
            </w:pPr>
            <w:r w:rsidRPr="00617CAD">
              <w:rPr>
                <w:sz w:val="18"/>
                <w:szCs w:val="18"/>
              </w:rPr>
              <w:t>Support LAC pupils to achieve SMART targets identified within PEPs.</w:t>
            </w:r>
          </w:p>
        </w:tc>
        <w:tc>
          <w:tcPr>
            <w:tcW w:w="1658" w:type="dxa"/>
            <w:vAlign w:val="center"/>
          </w:tcPr>
          <w:p w14:paraId="2F878115" w14:textId="77777777" w:rsidR="00F7045E" w:rsidRPr="0082488A" w:rsidRDefault="00F7045E" w:rsidP="00FD23D8">
            <w:pPr>
              <w:ind w:left="180"/>
              <w:rPr>
                <w:sz w:val="18"/>
                <w:szCs w:val="18"/>
              </w:rPr>
            </w:pPr>
            <w:r w:rsidRPr="0082488A">
              <w:rPr>
                <w:sz w:val="18"/>
                <w:szCs w:val="18"/>
              </w:rPr>
              <w:t>3 x 30mins per week with TA = £855 p/ch</w:t>
            </w:r>
          </w:p>
          <w:p w14:paraId="33CCFE5D" w14:textId="40D2B5C8" w:rsidR="00F7045E" w:rsidRPr="0045387A" w:rsidRDefault="0045387A" w:rsidP="00FD23D8">
            <w:pPr>
              <w:ind w:left="180"/>
              <w:rPr>
                <w:b/>
                <w:sz w:val="18"/>
                <w:szCs w:val="18"/>
              </w:rPr>
            </w:pPr>
            <w:r w:rsidRPr="0045387A">
              <w:rPr>
                <w:b/>
                <w:sz w:val="18"/>
                <w:szCs w:val="18"/>
              </w:rPr>
              <w:t>=£3,000</w:t>
            </w:r>
          </w:p>
        </w:tc>
      </w:tr>
      <w:tr w:rsidR="00F7045E" w:rsidRPr="0082488A" w14:paraId="33CCFE65" w14:textId="77777777" w:rsidTr="0045387A">
        <w:tc>
          <w:tcPr>
            <w:tcW w:w="688" w:type="dxa"/>
            <w:vMerge/>
            <w:shd w:val="clear" w:color="auto" w:fill="660033"/>
            <w:vAlign w:val="center"/>
          </w:tcPr>
          <w:p w14:paraId="33CCFE5F" w14:textId="77777777" w:rsidR="00F7045E" w:rsidRPr="0082488A" w:rsidRDefault="00F7045E" w:rsidP="002D25F3">
            <w:pPr>
              <w:ind w:left="180"/>
              <w:rPr>
                <w:sz w:val="18"/>
                <w:szCs w:val="18"/>
              </w:rPr>
            </w:pPr>
          </w:p>
        </w:tc>
        <w:tc>
          <w:tcPr>
            <w:tcW w:w="2052" w:type="dxa"/>
            <w:vAlign w:val="center"/>
          </w:tcPr>
          <w:p w14:paraId="33CCFE60" w14:textId="77777777" w:rsidR="00F7045E" w:rsidRPr="0082488A" w:rsidRDefault="00F7045E" w:rsidP="006E3ADD">
            <w:pPr>
              <w:rPr>
                <w:b/>
                <w:sz w:val="18"/>
                <w:szCs w:val="18"/>
              </w:rPr>
            </w:pPr>
            <w:r w:rsidRPr="0082488A">
              <w:rPr>
                <w:b/>
                <w:sz w:val="18"/>
                <w:szCs w:val="18"/>
              </w:rPr>
              <w:t>Small Group Tuition</w:t>
            </w:r>
          </w:p>
          <w:p w14:paraId="33CCFE61" w14:textId="77777777" w:rsidR="00F7045E" w:rsidRPr="0082488A" w:rsidRDefault="00F7045E" w:rsidP="006E3ADD">
            <w:pPr>
              <w:rPr>
                <w:sz w:val="18"/>
                <w:szCs w:val="18"/>
              </w:rPr>
            </w:pPr>
            <w:r w:rsidRPr="0082488A">
              <w:rPr>
                <w:sz w:val="18"/>
                <w:szCs w:val="18"/>
              </w:rPr>
              <w:t>Provide small group work support delivering programmes of intervention.</w:t>
            </w:r>
          </w:p>
        </w:tc>
        <w:tc>
          <w:tcPr>
            <w:tcW w:w="5176" w:type="dxa"/>
          </w:tcPr>
          <w:p w14:paraId="7B56C8D1" w14:textId="40DD73B4" w:rsidR="00F7045E" w:rsidRPr="0082488A" w:rsidRDefault="0082488A" w:rsidP="0082488A">
            <w:pPr>
              <w:rPr>
                <w:b/>
                <w:sz w:val="18"/>
                <w:szCs w:val="18"/>
              </w:rPr>
            </w:pPr>
            <w:r w:rsidRPr="0082488A">
              <w:rPr>
                <w:b/>
                <w:sz w:val="18"/>
                <w:szCs w:val="18"/>
              </w:rPr>
              <w:t>Small Group Tuition (+4</w:t>
            </w:r>
            <w:r>
              <w:rPr>
                <w:b/>
                <w:sz w:val="18"/>
                <w:szCs w:val="18"/>
              </w:rPr>
              <w:t xml:space="preserve"> months</w:t>
            </w:r>
            <w:r w:rsidRPr="0082488A">
              <w:rPr>
                <w:b/>
                <w:sz w:val="18"/>
                <w:szCs w:val="18"/>
              </w:rPr>
              <w:t>)</w:t>
            </w:r>
          </w:p>
          <w:p w14:paraId="4C8508AD" w14:textId="3EFB6F77" w:rsidR="0082488A" w:rsidRPr="0082488A" w:rsidRDefault="0082488A" w:rsidP="0082488A">
            <w:pPr>
              <w:rPr>
                <w:sz w:val="18"/>
                <w:szCs w:val="18"/>
              </w:rPr>
            </w:pPr>
            <w:r w:rsidRPr="0082488A">
              <w:rPr>
                <w:sz w:val="18"/>
                <w:szCs w:val="18"/>
              </w:rPr>
              <w:t xml:space="preserve">Overall, the pattern is that small group tuition is effective and, as a rule of thumb, the smaller the group the better. Some studies suggest that greater feedback from the teacher, more sustained engagement in smaller groups, or work which is more closely matched to learners’ needs explains this impact. </w:t>
            </w:r>
          </w:p>
        </w:tc>
        <w:tc>
          <w:tcPr>
            <w:tcW w:w="1264" w:type="dxa"/>
            <w:vAlign w:val="center"/>
          </w:tcPr>
          <w:p w14:paraId="33CCFE62" w14:textId="54153452" w:rsidR="00F7045E" w:rsidRPr="0082488A" w:rsidRDefault="00F7045E" w:rsidP="002D25F3">
            <w:pPr>
              <w:ind w:left="180"/>
              <w:rPr>
                <w:sz w:val="18"/>
                <w:szCs w:val="18"/>
              </w:rPr>
            </w:pPr>
            <w:r w:rsidRPr="0082488A">
              <w:rPr>
                <w:sz w:val="18"/>
                <w:szCs w:val="18"/>
              </w:rPr>
              <w:t>All eligible pupils</w:t>
            </w:r>
          </w:p>
        </w:tc>
        <w:tc>
          <w:tcPr>
            <w:tcW w:w="3616" w:type="dxa"/>
            <w:vAlign w:val="center"/>
          </w:tcPr>
          <w:p w14:paraId="33CCFE63" w14:textId="77777777" w:rsidR="00F7045E" w:rsidRPr="00617CAD" w:rsidRDefault="00F7045E" w:rsidP="00617CAD">
            <w:pPr>
              <w:pStyle w:val="ListParagraph"/>
              <w:numPr>
                <w:ilvl w:val="0"/>
                <w:numId w:val="11"/>
              </w:numPr>
              <w:rPr>
                <w:sz w:val="18"/>
                <w:szCs w:val="18"/>
              </w:rPr>
            </w:pPr>
            <w:r w:rsidRPr="00617CAD">
              <w:rPr>
                <w:sz w:val="18"/>
                <w:szCs w:val="18"/>
              </w:rPr>
              <w:t>Improve academic outcomes for eligible pupils.</w:t>
            </w:r>
          </w:p>
        </w:tc>
        <w:tc>
          <w:tcPr>
            <w:tcW w:w="1658" w:type="dxa"/>
          </w:tcPr>
          <w:p w14:paraId="66A74CA0" w14:textId="4DAC6A46" w:rsidR="00505FC0" w:rsidRDefault="00505FC0" w:rsidP="0045387A">
            <w:pPr>
              <w:ind w:left="180"/>
              <w:rPr>
                <w:sz w:val="18"/>
                <w:szCs w:val="18"/>
              </w:rPr>
            </w:pPr>
            <w:r>
              <w:rPr>
                <w:sz w:val="18"/>
                <w:szCs w:val="18"/>
              </w:rPr>
              <w:t>Approx. £</w:t>
            </w:r>
            <w:r w:rsidR="0045387A">
              <w:rPr>
                <w:sz w:val="18"/>
                <w:szCs w:val="18"/>
              </w:rPr>
              <w:t>2</w:t>
            </w:r>
            <w:r>
              <w:rPr>
                <w:sz w:val="18"/>
                <w:szCs w:val="18"/>
              </w:rPr>
              <w:t>,</w:t>
            </w:r>
            <w:r w:rsidR="0045387A">
              <w:rPr>
                <w:sz w:val="18"/>
                <w:szCs w:val="18"/>
              </w:rPr>
              <w:t>5</w:t>
            </w:r>
            <w:r>
              <w:rPr>
                <w:sz w:val="18"/>
                <w:szCs w:val="18"/>
              </w:rPr>
              <w:t>00</w:t>
            </w:r>
          </w:p>
          <w:p w14:paraId="536755F0" w14:textId="77777777" w:rsidR="00F7045E" w:rsidRDefault="00505FC0" w:rsidP="0045387A">
            <w:pPr>
              <w:ind w:left="180"/>
              <w:rPr>
                <w:sz w:val="18"/>
                <w:szCs w:val="18"/>
              </w:rPr>
            </w:pPr>
            <w:r>
              <w:rPr>
                <w:sz w:val="18"/>
                <w:szCs w:val="18"/>
              </w:rPr>
              <w:t>C</w:t>
            </w:r>
            <w:r w:rsidR="00F7045E" w:rsidRPr="0082488A">
              <w:rPr>
                <w:sz w:val="18"/>
                <w:szCs w:val="18"/>
              </w:rPr>
              <w:t>ost at re</w:t>
            </w:r>
            <w:r>
              <w:rPr>
                <w:sz w:val="18"/>
                <w:szCs w:val="18"/>
              </w:rPr>
              <w:t>gular intervals throughout year using provision software.</w:t>
            </w:r>
          </w:p>
          <w:p w14:paraId="00785233" w14:textId="4843BC5B" w:rsidR="00505FC0" w:rsidRDefault="0045387A" w:rsidP="0045387A">
            <w:pPr>
              <w:ind w:left="180"/>
              <w:rPr>
                <w:sz w:val="18"/>
                <w:szCs w:val="18"/>
              </w:rPr>
            </w:pPr>
            <w:r>
              <w:rPr>
                <w:sz w:val="18"/>
                <w:szCs w:val="18"/>
              </w:rPr>
              <w:t>Annual s</w:t>
            </w:r>
            <w:r w:rsidR="00505FC0">
              <w:rPr>
                <w:sz w:val="18"/>
                <w:szCs w:val="18"/>
              </w:rPr>
              <w:t>ubscription of £600</w:t>
            </w:r>
            <w:r>
              <w:rPr>
                <w:sz w:val="18"/>
                <w:szCs w:val="18"/>
              </w:rPr>
              <w:t xml:space="preserve"> to Edukey Provision and Learning Plan Writer software.</w:t>
            </w:r>
          </w:p>
          <w:p w14:paraId="33CCFE64" w14:textId="24388841" w:rsidR="0045387A" w:rsidRPr="0045387A" w:rsidRDefault="0045387A" w:rsidP="0045387A">
            <w:pPr>
              <w:ind w:left="180"/>
              <w:rPr>
                <w:b/>
                <w:sz w:val="18"/>
                <w:szCs w:val="18"/>
              </w:rPr>
            </w:pPr>
            <w:r>
              <w:rPr>
                <w:b/>
                <w:sz w:val="18"/>
                <w:szCs w:val="18"/>
              </w:rPr>
              <w:t>= £3,1</w:t>
            </w:r>
            <w:r w:rsidRPr="0045387A">
              <w:rPr>
                <w:b/>
                <w:sz w:val="18"/>
                <w:szCs w:val="18"/>
              </w:rPr>
              <w:t>00</w:t>
            </w:r>
          </w:p>
        </w:tc>
      </w:tr>
      <w:tr w:rsidR="00F7045E" w:rsidRPr="0082488A" w14:paraId="33CCFE77" w14:textId="77777777" w:rsidTr="00505FC0">
        <w:tc>
          <w:tcPr>
            <w:tcW w:w="688" w:type="dxa"/>
            <w:vMerge/>
            <w:shd w:val="clear" w:color="auto" w:fill="660033"/>
            <w:vAlign w:val="center"/>
          </w:tcPr>
          <w:p w14:paraId="33CCFE6F" w14:textId="77777777" w:rsidR="00F7045E" w:rsidRPr="0082488A" w:rsidRDefault="00F7045E" w:rsidP="002D25F3">
            <w:pPr>
              <w:ind w:left="180"/>
              <w:rPr>
                <w:sz w:val="18"/>
                <w:szCs w:val="18"/>
              </w:rPr>
            </w:pPr>
          </w:p>
        </w:tc>
        <w:tc>
          <w:tcPr>
            <w:tcW w:w="2052" w:type="dxa"/>
            <w:vAlign w:val="center"/>
          </w:tcPr>
          <w:p w14:paraId="33CCFE70" w14:textId="77777777" w:rsidR="00F7045E" w:rsidRPr="0082488A" w:rsidRDefault="00F7045E" w:rsidP="006E3ADD">
            <w:pPr>
              <w:rPr>
                <w:b/>
                <w:sz w:val="18"/>
                <w:szCs w:val="18"/>
              </w:rPr>
            </w:pPr>
            <w:r w:rsidRPr="0082488A">
              <w:rPr>
                <w:b/>
                <w:sz w:val="18"/>
                <w:szCs w:val="18"/>
              </w:rPr>
              <w:t>Early Phonics Intervention</w:t>
            </w:r>
          </w:p>
          <w:p w14:paraId="33CCFE71" w14:textId="77777777" w:rsidR="00F7045E" w:rsidRPr="0082488A" w:rsidRDefault="00F7045E" w:rsidP="00553D1C">
            <w:pPr>
              <w:rPr>
                <w:sz w:val="18"/>
                <w:szCs w:val="18"/>
              </w:rPr>
            </w:pPr>
            <w:r w:rsidRPr="0082488A">
              <w:rPr>
                <w:sz w:val="18"/>
                <w:szCs w:val="18"/>
              </w:rPr>
              <w:t>Targeted intervention groups delivered by a Senior Teaching Assistant.</w:t>
            </w:r>
          </w:p>
        </w:tc>
        <w:tc>
          <w:tcPr>
            <w:tcW w:w="5176" w:type="dxa"/>
          </w:tcPr>
          <w:p w14:paraId="7BE629E2" w14:textId="77777777" w:rsidR="00F7045E" w:rsidRPr="0082488A" w:rsidRDefault="0082488A" w:rsidP="0082488A">
            <w:pPr>
              <w:rPr>
                <w:b/>
                <w:sz w:val="18"/>
                <w:szCs w:val="18"/>
              </w:rPr>
            </w:pPr>
            <w:r w:rsidRPr="0082488A">
              <w:rPr>
                <w:b/>
                <w:sz w:val="18"/>
                <w:szCs w:val="18"/>
              </w:rPr>
              <w:t>Phonics (+4)</w:t>
            </w:r>
          </w:p>
          <w:p w14:paraId="586D1774" w14:textId="2F64F024" w:rsidR="0082488A" w:rsidRPr="0082488A" w:rsidRDefault="0082488A" w:rsidP="0082488A">
            <w:pPr>
              <w:rPr>
                <w:sz w:val="18"/>
                <w:szCs w:val="18"/>
              </w:rPr>
            </w:pPr>
            <w:r w:rsidRPr="0082488A">
              <w:rPr>
                <w:sz w:val="18"/>
                <w:szCs w:val="18"/>
              </w:rPr>
              <w:t xml:space="preserve">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w:t>
            </w:r>
          </w:p>
        </w:tc>
        <w:tc>
          <w:tcPr>
            <w:tcW w:w="1264" w:type="dxa"/>
            <w:vAlign w:val="center"/>
          </w:tcPr>
          <w:p w14:paraId="33CCFE72" w14:textId="469B8C95" w:rsidR="00F7045E" w:rsidRPr="0082488A" w:rsidRDefault="00F7045E" w:rsidP="002D25F3">
            <w:pPr>
              <w:ind w:left="180"/>
              <w:rPr>
                <w:sz w:val="18"/>
                <w:szCs w:val="18"/>
              </w:rPr>
            </w:pPr>
            <w:r w:rsidRPr="0082488A">
              <w:rPr>
                <w:sz w:val="18"/>
                <w:szCs w:val="18"/>
              </w:rPr>
              <w:t>Eligible pupils in FS2 and KS1.</w:t>
            </w:r>
          </w:p>
        </w:tc>
        <w:tc>
          <w:tcPr>
            <w:tcW w:w="3616" w:type="dxa"/>
            <w:vAlign w:val="center"/>
          </w:tcPr>
          <w:p w14:paraId="364E1435" w14:textId="77777777" w:rsidR="00617CAD" w:rsidRDefault="00F7045E" w:rsidP="00617CAD">
            <w:pPr>
              <w:pStyle w:val="ListParagraph"/>
              <w:numPr>
                <w:ilvl w:val="0"/>
                <w:numId w:val="11"/>
              </w:numPr>
              <w:rPr>
                <w:sz w:val="18"/>
                <w:szCs w:val="18"/>
              </w:rPr>
            </w:pPr>
            <w:r w:rsidRPr="00617CAD">
              <w:rPr>
                <w:sz w:val="18"/>
                <w:szCs w:val="18"/>
              </w:rPr>
              <w:t>Improve academic outcomes for eligible pupils</w:t>
            </w:r>
          </w:p>
          <w:p w14:paraId="33CCFE75" w14:textId="3751168F" w:rsidR="00F7045E" w:rsidRPr="00617CAD" w:rsidRDefault="00F7045E" w:rsidP="00617CAD">
            <w:pPr>
              <w:pStyle w:val="ListParagraph"/>
              <w:numPr>
                <w:ilvl w:val="0"/>
                <w:numId w:val="11"/>
              </w:numPr>
              <w:rPr>
                <w:sz w:val="18"/>
                <w:szCs w:val="18"/>
              </w:rPr>
            </w:pPr>
            <w:r w:rsidRPr="00617CAD">
              <w:rPr>
                <w:sz w:val="18"/>
                <w:szCs w:val="18"/>
              </w:rPr>
              <w:t>Increase the percentage of eligible pupils achieving the threshold for the Year 1 Phonics Screening Check.</w:t>
            </w:r>
          </w:p>
        </w:tc>
        <w:tc>
          <w:tcPr>
            <w:tcW w:w="1658" w:type="dxa"/>
            <w:vAlign w:val="center"/>
          </w:tcPr>
          <w:p w14:paraId="33CCFE76" w14:textId="7FB8BA2E" w:rsidR="00F7045E" w:rsidRPr="0082488A" w:rsidRDefault="007F18E2" w:rsidP="002D25F3">
            <w:pPr>
              <w:ind w:left="180"/>
              <w:rPr>
                <w:sz w:val="18"/>
                <w:szCs w:val="18"/>
              </w:rPr>
            </w:pPr>
            <w:r>
              <w:rPr>
                <w:sz w:val="18"/>
                <w:szCs w:val="18"/>
              </w:rPr>
              <w:t xml:space="preserve">5 hours per week with TA = </w:t>
            </w:r>
            <w:r w:rsidR="0045387A" w:rsidRPr="0045387A">
              <w:rPr>
                <w:b/>
                <w:sz w:val="18"/>
                <w:szCs w:val="18"/>
              </w:rPr>
              <w:t>£3,000</w:t>
            </w:r>
          </w:p>
        </w:tc>
      </w:tr>
    </w:tbl>
    <w:p w14:paraId="33CCFE80" w14:textId="13EA5EAE" w:rsidR="004A41C2" w:rsidRPr="0082488A" w:rsidRDefault="004A41C2">
      <w:pPr>
        <w:rPr>
          <w:sz w:val="18"/>
          <w:szCs w:val="18"/>
        </w:rPr>
      </w:pPr>
    </w:p>
    <w:tbl>
      <w:tblPr>
        <w:tblStyle w:val="TableGrid"/>
        <w:tblpPr w:leftFromText="180" w:rightFromText="180" w:vertAnchor="page" w:horzAnchor="margin" w:tblpY="1966"/>
        <w:tblW w:w="14312" w:type="dxa"/>
        <w:tblLook w:val="04A0" w:firstRow="1" w:lastRow="0" w:firstColumn="1" w:lastColumn="0" w:noHBand="0" w:noVBand="1"/>
      </w:tblPr>
      <w:tblGrid>
        <w:gridCol w:w="544"/>
        <w:gridCol w:w="2149"/>
        <w:gridCol w:w="4278"/>
        <w:gridCol w:w="2380"/>
        <w:gridCol w:w="771"/>
        <w:gridCol w:w="2653"/>
        <w:gridCol w:w="1537"/>
      </w:tblGrid>
      <w:tr w:rsidR="0082488A" w:rsidRPr="0082488A" w14:paraId="33CCFE8A" w14:textId="77777777" w:rsidTr="00505FC0">
        <w:trPr>
          <w:cantSplit/>
          <w:trHeight w:val="827"/>
        </w:trPr>
        <w:tc>
          <w:tcPr>
            <w:tcW w:w="544" w:type="dxa"/>
            <w:vMerge w:val="restart"/>
            <w:shd w:val="clear" w:color="auto" w:fill="660033"/>
            <w:textDirection w:val="btLr"/>
            <w:vAlign w:val="center"/>
          </w:tcPr>
          <w:p w14:paraId="33CCFE81" w14:textId="77777777" w:rsidR="0082488A" w:rsidRPr="0082488A" w:rsidRDefault="0082488A" w:rsidP="004A41C2">
            <w:pPr>
              <w:ind w:left="180" w:right="113"/>
              <w:jc w:val="center"/>
              <w:rPr>
                <w:sz w:val="18"/>
                <w:szCs w:val="18"/>
              </w:rPr>
            </w:pPr>
            <w:r w:rsidRPr="0082488A">
              <w:rPr>
                <w:sz w:val="18"/>
                <w:szCs w:val="18"/>
              </w:rPr>
              <w:t>Educational Experiences</w:t>
            </w:r>
          </w:p>
        </w:tc>
        <w:tc>
          <w:tcPr>
            <w:tcW w:w="2149" w:type="dxa"/>
            <w:vAlign w:val="center"/>
          </w:tcPr>
          <w:p w14:paraId="33CCFE82" w14:textId="77777777" w:rsidR="0082488A" w:rsidRPr="0082488A" w:rsidRDefault="0082488A" w:rsidP="006E3ADD">
            <w:pPr>
              <w:rPr>
                <w:b/>
                <w:sz w:val="18"/>
                <w:szCs w:val="18"/>
              </w:rPr>
            </w:pPr>
            <w:r w:rsidRPr="0082488A">
              <w:rPr>
                <w:b/>
                <w:sz w:val="18"/>
                <w:szCs w:val="18"/>
              </w:rPr>
              <w:t>Residential Visit Subsidy</w:t>
            </w:r>
          </w:p>
          <w:p w14:paraId="33CCFE83" w14:textId="77777777" w:rsidR="0082488A" w:rsidRPr="0082488A" w:rsidRDefault="0082488A" w:rsidP="00647989">
            <w:pPr>
              <w:rPr>
                <w:sz w:val="18"/>
                <w:szCs w:val="18"/>
              </w:rPr>
            </w:pPr>
            <w:r w:rsidRPr="0082488A">
              <w:rPr>
                <w:sz w:val="18"/>
                <w:szCs w:val="18"/>
              </w:rPr>
              <w:t>School will subsidise the visit for eligible pupils.</w:t>
            </w:r>
          </w:p>
        </w:tc>
        <w:tc>
          <w:tcPr>
            <w:tcW w:w="4278" w:type="dxa"/>
            <w:shd w:val="clear" w:color="auto" w:fill="F2F2F2" w:themeFill="background1" w:themeFillShade="F2"/>
          </w:tcPr>
          <w:p w14:paraId="197BF82E" w14:textId="77777777" w:rsidR="0082488A" w:rsidRPr="0082488A" w:rsidRDefault="0082488A" w:rsidP="002D25F3">
            <w:pPr>
              <w:ind w:left="180"/>
              <w:rPr>
                <w:sz w:val="18"/>
                <w:szCs w:val="18"/>
              </w:rPr>
            </w:pPr>
          </w:p>
        </w:tc>
        <w:tc>
          <w:tcPr>
            <w:tcW w:w="2380" w:type="dxa"/>
            <w:vAlign w:val="center"/>
          </w:tcPr>
          <w:p w14:paraId="33CCFE84" w14:textId="44C6CB8F" w:rsidR="0082488A" w:rsidRPr="0082488A" w:rsidRDefault="0082488A" w:rsidP="002D25F3">
            <w:pPr>
              <w:ind w:left="180"/>
              <w:rPr>
                <w:sz w:val="18"/>
                <w:szCs w:val="18"/>
              </w:rPr>
            </w:pPr>
            <w:r w:rsidRPr="0082488A">
              <w:rPr>
                <w:sz w:val="18"/>
                <w:szCs w:val="18"/>
              </w:rPr>
              <w:t>Eligible pupils in Y5</w:t>
            </w:r>
          </w:p>
        </w:tc>
        <w:tc>
          <w:tcPr>
            <w:tcW w:w="3424" w:type="dxa"/>
            <w:gridSpan w:val="2"/>
            <w:vAlign w:val="center"/>
          </w:tcPr>
          <w:p w14:paraId="33CCFE85" w14:textId="77777777" w:rsidR="0082488A" w:rsidRPr="00617CAD" w:rsidRDefault="0082488A" w:rsidP="00617CAD">
            <w:pPr>
              <w:pStyle w:val="ListParagraph"/>
              <w:numPr>
                <w:ilvl w:val="0"/>
                <w:numId w:val="11"/>
              </w:numPr>
              <w:rPr>
                <w:sz w:val="18"/>
                <w:szCs w:val="18"/>
              </w:rPr>
            </w:pPr>
            <w:r w:rsidRPr="00617CAD">
              <w:rPr>
                <w:sz w:val="18"/>
                <w:szCs w:val="18"/>
              </w:rPr>
              <w:t>Raise eligible pupil engagement and aspirations</w:t>
            </w:r>
          </w:p>
          <w:p w14:paraId="33CCFE86" w14:textId="77777777" w:rsidR="0082488A" w:rsidRPr="00617CAD" w:rsidRDefault="0082488A" w:rsidP="00617CAD">
            <w:pPr>
              <w:pStyle w:val="ListParagraph"/>
              <w:numPr>
                <w:ilvl w:val="0"/>
                <w:numId w:val="11"/>
              </w:numPr>
              <w:rPr>
                <w:sz w:val="18"/>
                <w:szCs w:val="18"/>
              </w:rPr>
            </w:pPr>
            <w:r w:rsidRPr="00617CAD">
              <w:rPr>
                <w:sz w:val="18"/>
                <w:szCs w:val="18"/>
              </w:rPr>
              <w:t>Raise self-confidence and self-esteem of eligible pupils</w:t>
            </w:r>
          </w:p>
          <w:p w14:paraId="33CCFE88" w14:textId="7EB5AABE" w:rsidR="0082488A" w:rsidRPr="00505FC0" w:rsidRDefault="00617CAD" w:rsidP="00505FC0">
            <w:pPr>
              <w:pStyle w:val="ListParagraph"/>
              <w:numPr>
                <w:ilvl w:val="0"/>
                <w:numId w:val="11"/>
              </w:numPr>
              <w:rPr>
                <w:sz w:val="18"/>
                <w:szCs w:val="18"/>
              </w:rPr>
            </w:pPr>
            <w:r>
              <w:rPr>
                <w:sz w:val="18"/>
                <w:szCs w:val="18"/>
              </w:rPr>
              <w:t>I</w:t>
            </w:r>
            <w:r w:rsidR="0082488A" w:rsidRPr="00617CAD">
              <w:rPr>
                <w:sz w:val="18"/>
                <w:szCs w:val="18"/>
              </w:rPr>
              <w:t>mprove academic outcomes for eligible pupils.</w:t>
            </w:r>
          </w:p>
        </w:tc>
        <w:tc>
          <w:tcPr>
            <w:tcW w:w="1537" w:type="dxa"/>
            <w:vAlign w:val="center"/>
          </w:tcPr>
          <w:p w14:paraId="33CCFE89" w14:textId="7F1F76E6" w:rsidR="0082488A" w:rsidRPr="0082488A" w:rsidRDefault="007F18E2" w:rsidP="002D25F3">
            <w:pPr>
              <w:ind w:left="180"/>
              <w:rPr>
                <w:sz w:val="18"/>
                <w:szCs w:val="18"/>
              </w:rPr>
            </w:pPr>
            <w:r w:rsidRPr="007F18E2">
              <w:rPr>
                <w:sz w:val="18"/>
                <w:szCs w:val="18"/>
              </w:rPr>
              <w:t xml:space="preserve">Approx. £177 per pupil = </w:t>
            </w:r>
            <w:r w:rsidRPr="0045387A">
              <w:rPr>
                <w:b/>
                <w:sz w:val="18"/>
                <w:szCs w:val="18"/>
              </w:rPr>
              <w:t>£885</w:t>
            </w:r>
          </w:p>
        </w:tc>
      </w:tr>
      <w:tr w:rsidR="0082488A" w:rsidRPr="0082488A" w14:paraId="2D00F6FE" w14:textId="77777777" w:rsidTr="00505FC0">
        <w:trPr>
          <w:cantSplit/>
          <w:trHeight w:val="827"/>
        </w:trPr>
        <w:tc>
          <w:tcPr>
            <w:tcW w:w="544" w:type="dxa"/>
            <w:vMerge/>
            <w:shd w:val="clear" w:color="auto" w:fill="660033"/>
            <w:textDirection w:val="btLr"/>
            <w:vAlign w:val="center"/>
          </w:tcPr>
          <w:p w14:paraId="05D19C35" w14:textId="77777777" w:rsidR="0082488A" w:rsidRPr="0082488A" w:rsidRDefault="0082488A" w:rsidP="006E719B">
            <w:pPr>
              <w:ind w:left="180" w:right="113"/>
              <w:jc w:val="center"/>
              <w:rPr>
                <w:sz w:val="18"/>
                <w:szCs w:val="18"/>
              </w:rPr>
            </w:pPr>
          </w:p>
        </w:tc>
        <w:tc>
          <w:tcPr>
            <w:tcW w:w="2149" w:type="dxa"/>
            <w:vAlign w:val="center"/>
          </w:tcPr>
          <w:p w14:paraId="17589B42" w14:textId="65B47D00" w:rsidR="0082488A" w:rsidRPr="0082488A" w:rsidRDefault="0082488A" w:rsidP="006E719B">
            <w:pPr>
              <w:rPr>
                <w:b/>
                <w:sz w:val="18"/>
                <w:szCs w:val="18"/>
              </w:rPr>
            </w:pPr>
            <w:r w:rsidRPr="0082488A">
              <w:rPr>
                <w:b/>
                <w:sz w:val="18"/>
                <w:szCs w:val="18"/>
              </w:rPr>
              <w:t>Visit Subsidy</w:t>
            </w:r>
          </w:p>
          <w:p w14:paraId="55626303" w14:textId="3D48F25E" w:rsidR="0082488A" w:rsidRPr="0082488A" w:rsidRDefault="0082488A" w:rsidP="006E719B">
            <w:pPr>
              <w:rPr>
                <w:b/>
                <w:sz w:val="18"/>
                <w:szCs w:val="18"/>
              </w:rPr>
            </w:pPr>
            <w:r w:rsidRPr="0082488A">
              <w:rPr>
                <w:sz w:val="18"/>
                <w:szCs w:val="18"/>
              </w:rPr>
              <w:t>School will subsidise visits for eligible pupils.</w:t>
            </w:r>
          </w:p>
        </w:tc>
        <w:tc>
          <w:tcPr>
            <w:tcW w:w="4278" w:type="dxa"/>
            <w:shd w:val="clear" w:color="auto" w:fill="F2F2F2" w:themeFill="background1" w:themeFillShade="F2"/>
          </w:tcPr>
          <w:p w14:paraId="6C4C5ACB" w14:textId="77777777" w:rsidR="0082488A" w:rsidRPr="0082488A" w:rsidRDefault="0082488A" w:rsidP="006E719B">
            <w:pPr>
              <w:ind w:left="180"/>
              <w:rPr>
                <w:sz w:val="18"/>
                <w:szCs w:val="18"/>
              </w:rPr>
            </w:pPr>
          </w:p>
        </w:tc>
        <w:tc>
          <w:tcPr>
            <w:tcW w:w="2380" w:type="dxa"/>
            <w:vAlign w:val="center"/>
          </w:tcPr>
          <w:p w14:paraId="3A7D5F0B" w14:textId="43ECBE46" w:rsidR="0082488A" w:rsidRPr="0082488A" w:rsidRDefault="0082488A" w:rsidP="006E719B">
            <w:pPr>
              <w:ind w:left="180"/>
              <w:rPr>
                <w:sz w:val="18"/>
                <w:szCs w:val="18"/>
              </w:rPr>
            </w:pPr>
            <w:r w:rsidRPr="0082488A">
              <w:rPr>
                <w:sz w:val="18"/>
                <w:szCs w:val="18"/>
              </w:rPr>
              <w:t>All eligible pupils</w:t>
            </w:r>
          </w:p>
        </w:tc>
        <w:tc>
          <w:tcPr>
            <w:tcW w:w="3424" w:type="dxa"/>
            <w:gridSpan w:val="2"/>
            <w:vAlign w:val="center"/>
          </w:tcPr>
          <w:p w14:paraId="787CE690" w14:textId="77777777" w:rsidR="0082488A" w:rsidRPr="00617CAD" w:rsidRDefault="0082488A" w:rsidP="00617CAD">
            <w:pPr>
              <w:pStyle w:val="ListParagraph"/>
              <w:numPr>
                <w:ilvl w:val="0"/>
                <w:numId w:val="11"/>
              </w:numPr>
              <w:rPr>
                <w:sz w:val="18"/>
                <w:szCs w:val="18"/>
              </w:rPr>
            </w:pPr>
            <w:r w:rsidRPr="00617CAD">
              <w:rPr>
                <w:sz w:val="18"/>
                <w:szCs w:val="18"/>
              </w:rPr>
              <w:t>Raise eligible pupil engagement and aspirations</w:t>
            </w:r>
          </w:p>
          <w:p w14:paraId="6AA62C1A" w14:textId="77777777" w:rsidR="0082488A" w:rsidRPr="00617CAD" w:rsidRDefault="0082488A" w:rsidP="00617CAD">
            <w:pPr>
              <w:pStyle w:val="ListParagraph"/>
              <w:numPr>
                <w:ilvl w:val="0"/>
                <w:numId w:val="11"/>
              </w:numPr>
              <w:rPr>
                <w:sz w:val="18"/>
                <w:szCs w:val="18"/>
              </w:rPr>
            </w:pPr>
            <w:r w:rsidRPr="00617CAD">
              <w:rPr>
                <w:sz w:val="18"/>
                <w:szCs w:val="18"/>
              </w:rPr>
              <w:t>Raise self-confidence and self-esteem of eligible pupils</w:t>
            </w:r>
          </w:p>
          <w:p w14:paraId="76B4084D" w14:textId="21A8901B" w:rsidR="0082488A" w:rsidRPr="00505FC0" w:rsidRDefault="00505FC0" w:rsidP="00505FC0">
            <w:pPr>
              <w:pStyle w:val="ListParagraph"/>
              <w:numPr>
                <w:ilvl w:val="0"/>
                <w:numId w:val="11"/>
              </w:numPr>
              <w:rPr>
                <w:sz w:val="18"/>
                <w:szCs w:val="18"/>
              </w:rPr>
            </w:pPr>
            <w:r>
              <w:rPr>
                <w:sz w:val="18"/>
                <w:szCs w:val="18"/>
              </w:rPr>
              <w:t>I</w:t>
            </w:r>
            <w:r w:rsidR="0082488A" w:rsidRPr="00617CAD">
              <w:rPr>
                <w:sz w:val="18"/>
                <w:szCs w:val="18"/>
              </w:rPr>
              <w:t>mprove academic outcomes for eligible pupils.</w:t>
            </w:r>
          </w:p>
        </w:tc>
        <w:tc>
          <w:tcPr>
            <w:tcW w:w="1537" w:type="dxa"/>
            <w:vAlign w:val="center"/>
          </w:tcPr>
          <w:p w14:paraId="73AF73F8" w14:textId="27997291" w:rsidR="0082488A" w:rsidRPr="0082488A" w:rsidRDefault="0082488A" w:rsidP="006E719B">
            <w:pPr>
              <w:ind w:left="180"/>
              <w:rPr>
                <w:sz w:val="18"/>
                <w:szCs w:val="18"/>
                <w:highlight w:val="yellow"/>
              </w:rPr>
            </w:pPr>
            <w:r w:rsidRPr="009A49C9">
              <w:rPr>
                <w:sz w:val="18"/>
                <w:szCs w:val="18"/>
              </w:rPr>
              <w:t>2 x £10 per eligible pupil per year =</w:t>
            </w:r>
            <w:r w:rsidR="009A49C9" w:rsidRPr="009A49C9">
              <w:rPr>
                <w:sz w:val="18"/>
                <w:szCs w:val="18"/>
              </w:rPr>
              <w:t xml:space="preserve"> </w:t>
            </w:r>
            <w:r w:rsidR="009A49C9" w:rsidRPr="0045387A">
              <w:rPr>
                <w:b/>
                <w:sz w:val="18"/>
                <w:szCs w:val="18"/>
              </w:rPr>
              <w:t>£860</w:t>
            </w:r>
          </w:p>
        </w:tc>
      </w:tr>
      <w:tr w:rsidR="0082488A" w:rsidRPr="0082488A" w14:paraId="33CCFE94" w14:textId="77777777" w:rsidTr="00505FC0">
        <w:trPr>
          <w:cantSplit/>
          <w:trHeight w:val="696"/>
        </w:trPr>
        <w:tc>
          <w:tcPr>
            <w:tcW w:w="544" w:type="dxa"/>
            <w:vMerge/>
            <w:shd w:val="clear" w:color="auto" w:fill="660033"/>
            <w:textDirection w:val="btLr"/>
            <w:vAlign w:val="center"/>
          </w:tcPr>
          <w:p w14:paraId="33CCFE8B" w14:textId="77777777" w:rsidR="0082488A" w:rsidRPr="0082488A" w:rsidRDefault="0082488A" w:rsidP="006E719B">
            <w:pPr>
              <w:ind w:left="180" w:right="113"/>
              <w:rPr>
                <w:sz w:val="18"/>
                <w:szCs w:val="18"/>
              </w:rPr>
            </w:pPr>
          </w:p>
        </w:tc>
        <w:tc>
          <w:tcPr>
            <w:tcW w:w="2149" w:type="dxa"/>
            <w:vAlign w:val="center"/>
          </w:tcPr>
          <w:p w14:paraId="33CCFE8D" w14:textId="5852B012" w:rsidR="0082488A" w:rsidRPr="0082488A" w:rsidRDefault="0082488A" w:rsidP="006E719B">
            <w:pPr>
              <w:rPr>
                <w:b/>
                <w:sz w:val="18"/>
                <w:szCs w:val="18"/>
              </w:rPr>
            </w:pPr>
            <w:r w:rsidRPr="0082488A">
              <w:rPr>
                <w:b/>
                <w:sz w:val="18"/>
                <w:szCs w:val="18"/>
              </w:rPr>
              <w:t>Music Lessons</w:t>
            </w:r>
          </w:p>
        </w:tc>
        <w:tc>
          <w:tcPr>
            <w:tcW w:w="4278" w:type="dxa"/>
          </w:tcPr>
          <w:p w14:paraId="1AFB0BC7" w14:textId="628A2CBD" w:rsidR="0082488A" w:rsidRPr="00E966F2" w:rsidRDefault="0082488A" w:rsidP="0082488A">
            <w:pPr>
              <w:rPr>
                <w:b/>
                <w:sz w:val="18"/>
                <w:szCs w:val="18"/>
              </w:rPr>
            </w:pPr>
            <w:r w:rsidRPr="00E966F2">
              <w:rPr>
                <w:b/>
                <w:sz w:val="18"/>
                <w:szCs w:val="18"/>
              </w:rPr>
              <w:t>Arts (+2 months)</w:t>
            </w:r>
          </w:p>
          <w:p w14:paraId="770D12BB" w14:textId="50AA88ED" w:rsidR="0082488A" w:rsidRPr="0082488A" w:rsidRDefault="0082488A" w:rsidP="0082488A">
            <w:pPr>
              <w:rPr>
                <w:sz w:val="18"/>
                <w:szCs w:val="18"/>
              </w:rPr>
            </w:pPr>
            <w:r w:rsidRPr="0082488A">
              <w:rPr>
                <w:sz w:val="18"/>
                <w:szCs w:val="18"/>
              </w:rPr>
              <w:t>Overall, the impact of arts participation on academic learning appears to be positive but low. Improved outcomes have been identified in English, mathematics and science learning. Benefits have also been found in both primary and secondary schools, though on average greater effects have been identified for younger learners.</w:t>
            </w:r>
          </w:p>
        </w:tc>
        <w:tc>
          <w:tcPr>
            <w:tcW w:w="2380" w:type="dxa"/>
            <w:vAlign w:val="center"/>
          </w:tcPr>
          <w:p w14:paraId="33CCFE8E" w14:textId="546BBC2C" w:rsidR="0082488A" w:rsidRPr="0082488A" w:rsidRDefault="00505FC0" w:rsidP="0082488A">
            <w:pPr>
              <w:rPr>
                <w:sz w:val="18"/>
                <w:szCs w:val="18"/>
              </w:rPr>
            </w:pPr>
            <w:r w:rsidRPr="0082488A">
              <w:rPr>
                <w:sz w:val="18"/>
                <w:szCs w:val="18"/>
              </w:rPr>
              <w:t>All eligible pupils</w:t>
            </w:r>
            <w:r>
              <w:rPr>
                <w:sz w:val="18"/>
                <w:szCs w:val="18"/>
              </w:rPr>
              <w:t xml:space="preserve"> in Y5 and Y6.</w:t>
            </w:r>
          </w:p>
        </w:tc>
        <w:tc>
          <w:tcPr>
            <w:tcW w:w="3424" w:type="dxa"/>
            <w:gridSpan w:val="2"/>
            <w:vAlign w:val="center"/>
          </w:tcPr>
          <w:p w14:paraId="33CCFE92" w14:textId="372DDCEA" w:rsidR="0082488A" w:rsidRPr="00617CAD" w:rsidRDefault="0082488A" w:rsidP="00617CAD">
            <w:pPr>
              <w:pStyle w:val="ListParagraph"/>
              <w:numPr>
                <w:ilvl w:val="0"/>
                <w:numId w:val="11"/>
              </w:numPr>
              <w:rPr>
                <w:sz w:val="18"/>
                <w:szCs w:val="18"/>
              </w:rPr>
            </w:pPr>
            <w:r w:rsidRPr="00617CAD">
              <w:rPr>
                <w:sz w:val="18"/>
                <w:szCs w:val="18"/>
              </w:rPr>
              <w:t>Allow vulnerable, eligible pupils to access the wider curriculum through weekly Music lessons</w:t>
            </w:r>
          </w:p>
        </w:tc>
        <w:tc>
          <w:tcPr>
            <w:tcW w:w="1537" w:type="dxa"/>
            <w:vAlign w:val="center"/>
          </w:tcPr>
          <w:p w14:paraId="33CCFE93" w14:textId="0CF4AA64" w:rsidR="0082488A" w:rsidRPr="0082488A" w:rsidRDefault="0082488A" w:rsidP="006E719B">
            <w:pPr>
              <w:ind w:left="180"/>
              <w:rPr>
                <w:sz w:val="18"/>
                <w:szCs w:val="18"/>
                <w:highlight w:val="yellow"/>
              </w:rPr>
            </w:pPr>
            <w:r w:rsidRPr="009B5EB0">
              <w:rPr>
                <w:sz w:val="18"/>
                <w:szCs w:val="18"/>
              </w:rPr>
              <w:t xml:space="preserve">£ </w:t>
            </w:r>
            <w:r w:rsidR="00E63978">
              <w:rPr>
                <w:sz w:val="18"/>
                <w:szCs w:val="18"/>
              </w:rPr>
              <w:t>168</w:t>
            </w:r>
            <w:r w:rsidRPr="009B5EB0">
              <w:rPr>
                <w:sz w:val="18"/>
                <w:szCs w:val="18"/>
              </w:rPr>
              <w:t xml:space="preserve"> per child per year</w:t>
            </w:r>
            <w:r w:rsidR="00A7304C">
              <w:rPr>
                <w:sz w:val="18"/>
                <w:szCs w:val="18"/>
              </w:rPr>
              <w:t xml:space="preserve"> = £504 ( 3 children this academic year)</w:t>
            </w:r>
          </w:p>
        </w:tc>
      </w:tr>
      <w:tr w:rsidR="0082488A" w:rsidRPr="0082488A" w14:paraId="33CCFEA5" w14:textId="77777777" w:rsidTr="00505FC0">
        <w:trPr>
          <w:cantSplit/>
          <w:trHeight w:val="1141"/>
        </w:trPr>
        <w:tc>
          <w:tcPr>
            <w:tcW w:w="544" w:type="dxa"/>
            <w:vMerge w:val="restart"/>
            <w:shd w:val="clear" w:color="auto" w:fill="660033"/>
            <w:textDirection w:val="btLr"/>
            <w:vAlign w:val="center"/>
          </w:tcPr>
          <w:p w14:paraId="33CCFE9C" w14:textId="77777777" w:rsidR="0082488A" w:rsidRPr="0082488A" w:rsidRDefault="0082488A" w:rsidP="006E719B">
            <w:pPr>
              <w:ind w:left="180" w:right="113"/>
              <w:jc w:val="center"/>
              <w:rPr>
                <w:sz w:val="18"/>
                <w:szCs w:val="18"/>
              </w:rPr>
            </w:pPr>
            <w:r w:rsidRPr="0082488A">
              <w:rPr>
                <w:sz w:val="18"/>
                <w:szCs w:val="18"/>
              </w:rPr>
              <w:t>Teaching and Learning</w:t>
            </w:r>
          </w:p>
        </w:tc>
        <w:tc>
          <w:tcPr>
            <w:tcW w:w="2149" w:type="dxa"/>
            <w:vAlign w:val="center"/>
          </w:tcPr>
          <w:p w14:paraId="33CCFE9D" w14:textId="77777777" w:rsidR="0082488A" w:rsidRPr="0082488A" w:rsidRDefault="0082488A" w:rsidP="006E719B">
            <w:pPr>
              <w:rPr>
                <w:b/>
                <w:sz w:val="18"/>
                <w:szCs w:val="18"/>
              </w:rPr>
            </w:pPr>
            <w:r w:rsidRPr="0082488A">
              <w:rPr>
                <w:b/>
                <w:sz w:val="18"/>
                <w:szCs w:val="18"/>
              </w:rPr>
              <w:t>Additional Teaching Assistants</w:t>
            </w:r>
          </w:p>
          <w:p w14:paraId="33CCFE9F" w14:textId="0D22F523" w:rsidR="0082488A" w:rsidRPr="0082488A" w:rsidRDefault="0082488A" w:rsidP="006E719B">
            <w:pPr>
              <w:rPr>
                <w:sz w:val="18"/>
                <w:szCs w:val="18"/>
              </w:rPr>
            </w:pPr>
            <w:r w:rsidRPr="0082488A">
              <w:rPr>
                <w:sz w:val="18"/>
                <w:szCs w:val="18"/>
              </w:rPr>
              <w:t>2 full time TAs (September 2016-August 2017)</w:t>
            </w:r>
          </w:p>
        </w:tc>
        <w:tc>
          <w:tcPr>
            <w:tcW w:w="4278" w:type="dxa"/>
          </w:tcPr>
          <w:p w14:paraId="41988B93" w14:textId="77777777" w:rsidR="0082488A" w:rsidRPr="00E966F2" w:rsidRDefault="00E966F2" w:rsidP="00E966F2">
            <w:pPr>
              <w:rPr>
                <w:b/>
                <w:sz w:val="18"/>
                <w:szCs w:val="18"/>
              </w:rPr>
            </w:pPr>
            <w:r w:rsidRPr="00E966F2">
              <w:rPr>
                <w:b/>
                <w:sz w:val="18"/>
                <w:szCs w:val="18"/>
              </w:rPr>
              <w:t>Teaching Assistants (+1 month)</w:t>
            </w:r>
          </w:p>
          <w:p w14:paraId="13157139" w14:textId="097B6857" w:rsidR="00E966F2" w:rsidRDefault="00E966F2" w:rsidP="00E966F2">
            <w:pPr>
              <w:rPr>
                <w:sz w:val="18"/>
                <w:szCs w:val="18"/>
              </w:rPr>
            </w:pPr>
            <w:r>
              <w:rPr>
                <w:sz w:val="18"/>
                <w:szCs w:val="18"/>
              </w:rPr>
              <w:t>Although EEF Toolkit indicates lower progress measures for additional teaching assistants, teaching assistants will be utilised to deliver more effective intervention advocated by the EEF Toolkit:</w:t>
            </w:r>
          </w:p>
          <w:p w14:paraId="0E0B4B23" w14:textId="57F09D09" w:rsidR="00E966F2" w:rsidRDefault="00E966F2" w:rsidP="00E966F2">
            <w:pPr>
              <w:rPr>
                <w:b/>
                <w:sz w:val="18"/>
                <w:szCs w:val="18"/>
              </w:rPr>
            </w:pPr>
            <w:r w:rsidRPr="00E966F2">
              <w:rPr>
                <w:b/>
                <w:sz w:val="18"/>
                <w:szCs w:val="18"/>
              </w:rPr>
              <w:t>Effective Feedback +8 months)</w:t>
            </w:r>
          </w:p>
          <w:p w14:paraId="44C556DC" w14:textId="3A7E753A" w:rsidR="00E966F2" w:rsidRDefault="00E966F2" w:rsidP="00E966F2">
            <w:pPr>
              <w:rPr>
                <w:sz w:val="18"/>
                <w:szCs w:val="18"/>
              </w:rPr>
            </w:pPr>
            <w:r w:rsidRPr="00E966F2">
              <w:rPr>
                <w:sz w:val="18"/>
                <w:szCs w:val="18"/>
              </w:rPr>
              <w:t>Feedback studies tend to show very high effects on learning.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20640385" w14:textId="77777777" w:rsidR="0032758D" w:rsidRPr="00E966F2" w:rsidRDefault="0032758D" w:rsidP="00E966F2">
            <w:pPr>
              <w:rPr>
                <w:sz w:val="18"/>
                <w:szCs w:val="18"/>
              </w:rPr>
            </w:pPr>
          </w:p>
          <w:p w14:paraId="40CB571C" w14:textId="266185AC" w:rsidR="00E966F2" w:rsidRDefault="00E966F2" w:rsidP="00E966F2">
            <w:pPr>
              <w:rPr>
                <w:b/>
                <w:sz w:val="18"/>
                <w:szCs w:val="18"/>
              </w:rPr>
            </w:pPr>
            <w:r w:rsidRPr="00E966F2">
              <w:rPr>
                <w:b/>
                <w:sz w:val="18"/>
                <w:szCs w:val="18"/>
              </w:rPr>
              <w:t>Collaborative Learning (+5 months)</w:t>
            </w:r>
          </w:p>
          <w:p w14:paraId="0651F094" w14:textId="2E04D4FC" w:rsidR="00E966F2" w:rsidRPr="00E966F2" w:rsidRDefault="00E966F2" w:rsidP="00E966F2">
            <w:pPr>
              <w:rPr>
                <w:sz w:val="18"/>
                <w:szCs w:val="18"/>
              </w:rPr>
            </w:pPr>
            <w:r w:rsidRPr="00E966F2">
              <w:rPr>
                <w:sz w:val="18"/>
                <w:szCs w:val="18"/>
              </w:rPr>
              <w:t>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w:t>
            </w:r>
          </w:p>
          <w:p w14:paraId="64DD4641" w14:textId="458C1426" w:rsidR="00E966F2" w:rsidRPr="00E966F2" w:rsidRDefault="00E966F2" w:rsidP="00E966F2">
            <w:pPr>
              <w:rPr>
                <w:b/>
                <w:sz w:val="18"/>
                <w:szCs w:val="18"/>
              </w:rPr>
            </w:pPr>
            <w:r w:rsidRPr="00E966F2">
              <w:rPr>
                <w:b/>
                <w:sz w:val="18"/>
                <w:szCs w:val="18"/>
              </w:rPr>
              <w:t xml:space="preserve">Small Group </w:t>
            </w:r>
            <w:r w:rsidR="0032758D" w:rsidRPr="00E966F2">
              <w:rPr>
                <w:b/>
                <w:sz w:val="18"/>
                <w:szCs w:val="18"/>
              </w:rPr>
              <w:t>Tuition</w:t>
            </w:r>
            <w:r w:rsidRPr="00E966F2">
              <w:rPr>
                <w:b/>
                <w:sz w:val="18"/>
                <w:szCs w:val="18"/>
              </w:rPr>
              <w:t xml:space="preserve"> (+4 months)</w:t>
            </w:r>
          </w:p>
        </w:tc>
        <w:tc>
          <w:tcPr>
            <w:tcW w:w="2380" w:type="dxa"/>
            <w:vAlign w:val="center"/>
          </w:tcPr>
          <w:p w14:paraId="33CCFEA0" w14:textId="4C90AA2C" w:rsidR="0082488A" w:rsidRPr="0082488A" w:rsidRDefault="0082488A" w:rsidP="006E719B">
            <w:pPr>
              <w:ind w:left="180"/>
              <w:rPr>
                <w:sz w:val="18"/>
                <w:szCs w:val="18"/>
              </w:rPr>
            </w:pPr>
            <w:r w:rsidRPr="0082488A">
              <w:rPr>
                <w:sz w:val="18"/>
                <w:szCs w:val="18"/>
              </w:rPr>
              <w:t>All eligible pupils</w:t>
            </w:r>
          </w:p>
        </w:tc>
        <w:tc>
          <w:tcPr>
            <w:tcW w:w="3424" w:type="dxa"/>
            <w:gridSpan w:val="2"/>
            <w:vAlign w:val="center"/>
          </w:tcPr>
          <w:p w14:paraId="027528B3" w14:textId="77777777" w:rsidR="00617CAD" w:rsidRDefault="0082488A" w:rsidP="00617CAD">
            <w:pPr>
              <w:pStyle w:val="ListParagraph"/>
              <w:numPr>
                <w:ilvl w:val="0"/>
                <w:numId w:val="11"/>
              </w:numPr>
              <w:rPr>
                <w:sz w:val="18"/>
                <w:szCs w:val="18"/>
              </w:rPr>
            </w:pPr>
            <w:r w:rsidRPr="00617CAD">
              <w:rPr>
                <w:sz w:val="18"/>
                <w:szCs w:val="18"/>
              </w:rPr>
              <w:t>Increase support available to all eligible pupils.</w:t>
            </w:r>
          </w:p>
          <w:p w14:paraId="33CCFEA2" w14:textId="01ED2A1C" w:rsidR="0082488A" w:rsidRPr="00617CAD" w:rsidRDefault="0082488A" w:rsidP="00617CAD">
            <w:pPr>
              <w:pStyle w:val="ListParagraph"/>
              <w:numPr>
                <w:ilvl w:val="0"/>
                <w:numId w:val="11"/>
              </w:numPr>
              <w:rPr>
                <w:sz w:val="18"/>
                <w:szCs w:val="18"/>
              </w:rPr>
            </w:pPr>
            <w:r w:rsidRPr="00617CAD">
              <w:rPr>
                <w:sz w:val="18"/>
                <w:szCs w:val="18"/>
              </w:rPr>
              <w:t>Increase opportunities for targeted interventions- e.g. effective feedback, small group tuition, collaborative work</w:t>
            </w:r>
          </w:p>
          <w:p w14:paraId="33CCFEA3" w14:textId="77777777" w:rsidR="0082488A" w:rsidRPr="00617CAD" w:rsidRDefault="0082488A" w:rsidP="00617CAD">
            <w:pPr>
              <w:pStyle w:val="ListParagraph"/>
              <w:numPr>
                <w:ilvl w:val="0"/>
                <w:numId w:val="11"/>
              </w:numPr>
              <w:rPr>
                <w:sz w:val="18"/>
                <w:szCs w:val="18"/>
              </w:rPr>
            </w:pPr>
            <w:r w:rsidRPr="00617CAD">
              <w:rPr>
                <w:sz w:val="18"/>
                <w:szCs w:val="18"/>
              </w:rPr>
              <w:t>Raise attainments and increase progress across the curriculum</w:t>
            </w:r>
          </w:p>
        </w:tc>
        <w:tc>
          <w:tcPr>
            <w:tcW w:w="1537" w:type="dxa"/>
            <w:vAlign w:val="center"/>
          </w:tcPr>
          <w:p w14:paraId="33CCFEA4" w14:textId="67F7A08F" w:rsidR="0082488A" w:rsidRPr="0045387A" w:rsidRDefault="0045387A" w:rsidP="006E719B">
            <w:pPr>
              <w:ind w:left="180"/>
              <w:rPr>
                <w:b/>
                <w:sz w:val="18"/>
                <w:szCs w:val="18"/>
              </w:rPr>
            </w:pPr>
            <w:r w:rsidRPr="0045387A">
              <w:rPr>
                <w:b/>
                <w:sz w:val="18"/>
                <w:szCs w:val="18"/>
              </w:rPr>
              <w:t>£24,000</w:t>
            </w:r>
          </w:p>
        </w:tc>
      </w:tr>
      <w:tr w:rsidR="0082488A" w:rsidRPr="0082488A" w14:paraId="33CCFEAD" w14:textId="77777777" w:rsidTr="00505FC0">
        <w:trPr>
          <w:cantSplit/>
          <w:trHeight w:val="1141"/>
        </w:trPr>
        <w:tc>
          <w:tcPr>
            <w:tcW w:w="544" w:type="dxa"/>
            <w:vMerge/>
            <w:shd w:val="clear" w:color="auto" w:fill="660033"/>
            <w:textDirection w:val="btLr"/>
            <w:vAlign w:val="center"/>
          </w:tcPr>
          <w:p w14:paraId="33CCFEA6" w14:textId="77777777" w:rsidR="0082488A" w:rsidRPr="0082488A" w:rsidRDefault="0082488A" w:rsidP="006E719B">
            <w:pPr>
              <w:ind w:left="180" w:right="113"/>
              <w:rPr>
                <w:sz w:val="18"/>
                <w:szCs w:val="18"/>
              </w:rPr>
            </w:pPr>
          </w:p>
        </w:tc>
        <w:tc>
          <w:tcPr>
            <w:tcW w:w="2149" w:type="dxa"/>
            <w:vAlign w:val="center"/>
          </w:tcPr>
          <w:p w14:paraId="33CCFEA7" w14:textId="77777777" w:rsidR="0082488A" w:rsidRPr="0082488A" w:rsidRDefault="0082488A" w:rsidP="006E719B">
            <w:pPr>
              <w:rPr>
                <w:b/>
                <w:sz w:val="18"/>
                <w:szCs w:val="18"/>
              </w:rPr>
            </w:pPr>
            <w:r w:rsidRPr="0082488A">
              <w:rPr>
                <w:b/>
                <w:sz w:val="18"/>
                <w:szCs w:val="18"/>
              </w:rPr>
              <w:t>Pupil Progress Meetings</w:t>
            </w:r>
          </w:p>
          <w:p w14:paraId="33CCFEA8" w14:textId="77777777" w:rsidR="0082488A" w:rsidRPr="0082488A" w:rsidRDefault="0082488A" w:rsidP="006E719B">
            <w:pPr>
              <w:rPr>
                <w:sz w:val="18"/>
                <w:szCs w:val="18"/>
              </w:rPr>
            </w:pPr>
            <w:r w:rsidRPr="0082488A">
              <w:rPr>
                <w:sz w:val="18"/>
                <w:szCs w:val="18"/>
              </w:rPr>
              <w:t>Half termly meetings with member of the Senior Leadership Team and class teachers.</w:t>
            </w:r>
          </w:p>
        </w:tc>
        <w:tc>
          <w:tcPr>
            <w:tcW w:w="4278" w:type="dxa"/>
            <w:shd w:val="clear" w:color="auto" w:fill="F2F2F2" w:themeFill="background1" w:themeFillShade="F2"/>
          </w:tcPr>
          <w:p w14:paraId="17DBC5A6" w14:textId="77777777" w:rsidR="0082488A" w:rsidRPr="0082488A" w:rsidRDefault="0082488A" w:rsidP="006E719B">
            <w:pPr>
              <w:ind w:left="180"/>
              <w:rPr>
                <w:sz w:val="18"/>
                <w:szCs w:val="18"/>
              </w:rPr>
            </w:pPr>
          </w:p>
        </w:tc>
        <w:tc>
          <w:tcPr>
            <w:tcW w:w="2380" w:type="dxa"/>
            <w:vAlign w:val="center"/>
          </w:tcPr>
          <w:p w14:paraId="33CCFEA9" w14:textId="17DD1783" w:rsidR="0082488A" w:rsidRPr="0082488A" w:rsidRDefault="0082488A" w:rsidP="006E719B">
            <w:pPr>
              <w:ind w:left="180"/>
              <w:rPr>
                <w:sz w:val="18"/>
                <w:szCs w:val="18"/>
              </w:rPr>
            </w:pPr>
            <w:r w:rsidRPr="0082488A">
              <w:rPr>
                <w:sz w:val="18"/>
                <w:szCs w:val="18"/>
              </w:rPr>
              <w:t>All eligible pupils</w:t>
            </w:r>
          </w:p>
        </w:tc>
        <w:tc>
          <w:tcPr>
            <w:tcW w:w="3424" w:type="dxa"/>
            <w:gridSpan w:val="2"/>
            <w:vAlign w:val="center"/>
          </w:tcPr>
          <w:p w14:paraId="07893F75" w14:textId="77777777" w:rsidR="0082488A" w:rsidRDefault="0082488A" w:rsidP="009A49C9">
            <w:pPr>
              <w:pStyle w:val="ListParagraph"/>
              <w:numPr>
                <w:ilvl w:val="0"/>
                <w:numId w:val="11"/>
              </w:numPr>
              <w:rPr>
                <w:sz w:val="18"/>
                <w:szCs w:val="18"/>
              </w:rPr>
            </w:pPr>
            <w:r w:rsidRPr="009A49C9">
              <w:rPr>
                <w:sz w:val="18"/>
                <w:szCs w:val="18"/>
              </w:rPr>
              <w:t>Monitor the attainment and progress of all eligible pupils in order to evaluate existing interventions</w:t>
            </w:r>
          </w:p>
          <w:p w14:paraId="33CCFEAB" w14:textId="6AE9535F" w:rsidR="007F18E2" w:rsidRPr="009A49C9" w:rsidRDefault="00505FC0" w:rsidP="009A49C9">
            <w:pPr>
              <w:pStyle w:val="ListParagraph"/>
              <w:numPr>
                <w:ilvl w:val="0"/>
                <w:numId w:val="11"/>
              </w:numPr>
              <w:rPr>
                <w:sz w:val="18"/>
                <w:szCs w:val="18"/>
              </w:rPr>
            </w:pPr>
            <w:r>
              <w:rPr>
                <w:sz w:val="18"/>
                <w:szCs w:val="18"/>
              </w:rPr>
              <w:t>Increased</w:t>
            </w:r>
            <w:r w:rsidR="007F18E2">
              <w:rPr>
                <w:sz w:val="18"/>
                <w:szCs w:val="18"/>
              </w:rPr>
              <w:t xml:space="preserve"> monitoring through work scrutiny and focused Learning Walks</w:t>
            </w:r>
          </w:p>
        </w:tc>
        <w:tc>
          <w:tcPr>
            <w:tcW w:w="1537" w:type="dxa"/>
            <w:vAlign w:val="center"/>
          </w:tcPr>
          <w:p w14:paraId="33CCFEAC" w14:textId="77777777" w:rsidR="0082488A" w:rsidRPr="0082488A" w:rsidRDefault="0082488A" w:rsidP="006E719B">
            <w:pPr>
              <w:ind w:left="180"/>
              <w:rPr>
                <w:sz w:val="18"/>
                <w:szCs w:val="18"/>
              </w:rPr>
            </w:pPr>
            <w:r w:rsidRPr="0082488A">
              <w:rPr>
                <w:sz w:val="18"/>
                <w:szCs w:val="18"/>
              </w:rPr>
              <w:t>Time Only</w:t>
            </w:r>
          </w:p>
        </w:tc>
      </w:tr>
      <w:tr w:rsidR="0082488A" w:rsidRPr="0082488A" w14:paraId="33CCFEC6" w14:textId="77777777" w:rsidTr="00505FC0">
        <w:trPr>
          <w:cantSplit/>
          <w:trHeight w:val="418"/>
        </w:trPr>
        <w:tc>
          <w:tcPr>
            <w:tcW w:w="544" w:type="dxa"/>
            <w:tcBorders>
              <w:top w:val="nil"/>
              <w:left w:val="nil"/>
              <w:bottom w:val="nil"/>
              <w:right w:val="nil"/>
            </w:tcBorders>
            <w:shd w:val="clear" w:color="auto" w:fill="auto"/>
            <w:textDirection w:val="btLr"/>
            <w:vAlign w:val="center"/>
          </w:tcPr>
          <w:p w14:paraId="33CCFEC0" w14:textId="77777777" w:rsidR="0082488A" w:rsidRPr="0082488A" w:rsidRDefault="0082488A" w:rsidP="006E719B">
            <w:pPr>
              <w:ind w:left="180" w:right="113"/>
              <w:rPr>
                <w:sz w:val="18"/>
                <w:szCs w:val="18"/>
              </w:rPr>
            </w:pPr>
          </w:p>
        </w:tc>
        <w:tc>
          <w:tcPr>
            <w:tcW w:w="2149" w:type="dxa"/>
            <w:tcBorders>
              <w:top w:val="nil"/>
              <w:left w:val="nil"/>
              <w:bottom w:val="nil"/>
              <w:right w:val="nil"/>
            </w:tcBorders>
            <w:vAlign w:val="center"/>
          </w:tcPr>
          <w:p w14:paraId="33CCFEC1" w14:textId="77777777" w:rsidR="0082488A" w:rsidRPr="0082488A" w:rsidRDefault="0082488A" w:rsidP="006E719B">
            <w:pPr>
              <w:ind w:left="180"/>
              <w:rPr>
                <w:b/>
                <w:sz w:val="18"/>
                <w:szCs w:val="18"/>
              </w:rPr>
            </w:pPr>
          </w:p>
        </w:tc>
        <w:tc>
          <w:tcPr>
            <w:tcW w:w="4278" w:type="dxa"/>
            <w:tcBorders>
              <w:top w:val="nil"/>
              <w:left w:val="nil"/>
              <w:bottom w:val="nil"/>
              <w:right w:val="nil"/>
            </w:tcBorders>
          </w:tcPr>
          <w:p w14:paraId="16182DDA" w14:textId="77777777" w:rsidR="0082488A" w:rsidRPr="0082488A" w:rsidRDefault="0082488A" w:rsidP="006E719B">
            <w:pPr>
              <w:ind w:left="180"/>
              <w:rPr>
                <w:sz w:val="18"/>
                <w:szCs w:val="18"/>
              </w:rPr>
            </w:pPr>
          </w:p>
        </w:tc>
        <w:tc>
          <w:tcPr>
            <w:tcW w:w="2380" w:type="dxa"/>
            <w:tcBorders>
              <w:top w:val="nil"/>
              <w:left w:val="nil"/>
              <w:bottom w:val="nil"/>
              <w:right w:val="nil"/>
            </w:tcBorders>
            <w:vAlign w:val="center"/>
          </w:tcPr>
          <w:p w14:paraId="33CCFEC2" w14:textId="0EE22E55" w:rsidR="0082488A" w:rsidRPr="0082488A" w:rsidRDefault="0082488A" w:rsidP="006E719B">
            <w:pPr>
              <w:ind w:left="180"/>
              <w:rPr>
                <w:sz w:val="18"/>
                <w:szCs w:val="18"/>
              </w:rPr>
            </w:pPr>
          </w:p>
        </w:tc>
        <w:tc>
          <w:tcPr>
            <w:tcW w:w="771" w:type="dxa"/>
            <w:tcBorders>
              <w:top w:val="nil"/>
              <w:left w:val="nil"/>
              <w:bottom w:val="nil"/>
              <w:right w:val="single" w:sz="4" w:space="0" w:color="auto"/>
            </w:tcBorders>
            <w:vAlign w:val="center"/>
          </w:tcPr>
          <w:p w14:paraId="33CCFEC3" w14:textId="77777777" w:rsidR="0082488A" w:rsidRPr="0082488A" w:rsidRDefault="0082488A" w:rsidP="006E719B">
            <w:pPr>
              <w:pStyle w:val="ListParagraph"/>
              <w:ind w:left="180"/>
              <w:jc w:val="right"/>
              <w:rPr>
                <w:sz w:val="18"/>
                <w:szCs w:val="18"/>
              </w:rPr>
            </w:pPr>
          </w:p>
        </w:tc>
        <w:tc>
          <w:tcPr>
            <w:tcW w:w="2653" w:type="dxa"/>
            <w:tcBorders>
              <w:top w:val="single" w:sz="4" w:space="0" w:color="auto"/>
              <w:left w:val="single" w:sz="4" w:space="0" w:color="auto"/>
              <w:bottom w:val="single" w:sz="4" w:space="0" w:color="auto"/>
              <w:right w:val="nil"/>
            </w:tcBorders>
            <w:shd w:val="clear" w:color="auto" w:fill="660033"/>
            <w:vAlign w:val="center"/>
          </w:tcPr>
          <w:p w14:paraId="33CCFEC4" w14:textId="77777777" w:rsidR="0082488A" w:rsidRPr="0045387A" w:rsidRDefault="0082488A" w:rsidP="006E719B">
            <w:pPr>
              <w:pStyle w:val="ListParagraph"/>
              <w:ind w:left="180"/>
              <w:jc w:val="right"/>
              <w:rPr>
                <w:b/>
                <w:sz w:val="18"/>
                <w:szCs w:val="18"/>
              </w:rPr>
            </w:pPr>
            <w:r w:rsidRPr="0045387A">
              <w:rPr>
                <w:b/>
                <w:sz w:val="18"/>
                <w:szCs w:val="18"/>
              </w:rPr>
              <w:t>Planned Expenditure =</w:t>
            </w:r>
          </w:p>
        </w:tc>
        <w:tc>
          <w:tcPr>
            <w:tcW w:w="1537" w:type="dxa"/>
            <w:tcBorders>
              <w:left w:val="nil"/>
            </w:tcBorders>
            <w:shd w:val="clear" w:color="auto" w:fill="660033"/>
            <w:vAlign w:val="center"/>
          </w:tcPr>
          <w:p w14:paraId="33CCFEC5" w14:textId="697DBCC8" w:rsidR="0082488A" w:rsidRPr="0045387A" w:rsidRDefault="00505FC0" w:rsidP="006E719B">
            <w:pPr>
              <w:ind w:left="180"/>
              <w:rPr>
                <w:b/>
                <w:sz w:val="18"/>
                <w:szCs w:val="18"/>
              </w:rPr>
            </w:pPr>
            <w:r w:rsidRPr="0045387A">
              <w:rPr>
                <w:b/>
                <w:sz w:val="18"/>
                <w:szCs w:val="18"/>
              </w:rPr>
              <w:t>£</w:t>
            </w:r>
            <w:r w:rsidR="0045387A" w:rsidRPr="0045387A">
              <w:rPr>
                <w:b/>
                <w:sz w:val="18"/>
                <w:szCs w:val="18"/>
              </w:rPr>
              <w:t>57,545</w:t>
            </w:r>
          </w:p>
        </w:tc>
      </w:tr>
    </w:tbl>
    <w:p w14:paraId="33CCFEC7" w14:textId="77777777" w:rsidR="0098357D" w:rsidRPr="0082488A" w:rsidRDefault="0098357D">
      <w:pPr>
        <w:rPr>
          <w:sz w:val="18"/>
          <w:szCs w:val="18"/>
        </w:rPr>
      </w:pPr>
    </w:p>
    <w:sectPr w:rsidR="0098357D" w:rsidRPr="0082488A" w:rsidSect="00242E5B">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0DC47" w14:textId="77777777" w:rsidR="00EC1FC8" w:rsidRDefault="00EC1FC8" w:rsidP="00242E5B">
      <w:pPr>
        <w:spacing w:after="0" w:line="240" w:lineRule="auto"/>
      </w:pPr>
      <w:r>
        <w:separator/>
      </w:r>
    </w:p>
  </w:endnote>
  <w:endnote w:type="continuationSeparator" w:id="0">
    <w:p w14:paraId="11A99798" w14:textId="77777777" w:rsidR="00EC1FC8" w:rsidRDefault="00EC1FC8" w:rsidP="0024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13D3" w14:textId="77777777" w:rsidR="00EC1FC8" w:rsidRDefault="00EC1FC8" w:rsidP="00242E5B">
      <w:pPr>
        <w:spacing w:after="0" w:line="240" w:lineRule="auto"/>
      </w:pPr>
      <w:r>
        <w:separator/>
      </w:r>
    </w:p>
  </w:footnote>
  <w:footnote w:type="continuationSeparator" w:id="0">
    <w:p w14:paraId="73522407" w14:textId="77777777" w:rsidR="00EC1FC8" w:rsidRDefault="00EC1FC8" w:rsidP="00242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FECC" w14:textId="77777777" w:rsidR="00CE7C4D" w:rsidRDefault="00CE7C4D" w:rsidP="00242E5B">
    <w:pPr>
      <w:pStyle w:val="Title"/>
      <w:jc w:val="center"/>
    </w:pPr>
    <w:r>
      <w:rPr>
        <w:noProof/>
        <w:lang w:eastAsia="en-GB"/>
      </w:rPr>
      <w:drawing>
        <wp:inline distT="0" distB="0" distL="0" distR="0" wp14:anchorId="33CCFECF" wp14:editId="33CCFED0">
          <wp:extent cx="455930" cy="455930"/>
          <wp:effectExtent l="0" t="0" r="1270" b="1270"/>
          <wp:docPr id="1" name="Picture 0" descr="1. school logo icon.png"/>
          <wp:cNvGraphicFramePr/>
          <a:graphic xmlns:a="http://schemas.openxmlformats.org/drawingml/2006/main">
            <a:graphicData uri="http://schemas.openxmlformats.org/drawingml/2006/picture">
              <pic:pic xmlns:pic="http://schemas.openxmlformats.org/drawingml/2006/picture">
                <pic:nvPicPr>
                  <pic:cNvPr id="1" name="Picture 0" descr="1. school logo icon.png"/>
                  <pic:cNvPicPr/>
                </pic:nvPicPr>
                <pic:blipFill>
                  <a:blip r:embed="rId1"/>
                  <a:stretch>
                    <a:fillRect/>
                  </a:stretch>
                </pic:blipFill>
                <pic:spPr>
                  <a:xfrm>
                    <a:off x="0" y="0"/>
                    <a:ext cx="455930" cy="455930"/>
                  </a:xfrm>
                  <a:prstGeom prst="rect">
                    <a:avLst/>
                  </a:prstGeom>
                </pic:spPr>
              </pic:pic>
            </a:graphicData>
          </a:graphic>
        </wp:inline>
      </w:drawing>
    </w:r>
  </w:p>
  <w:p w14:paraId="33CCFECD" w14:textId="17B47BD1" w:rsidR="00242E5B" w:rsidRDefault="00242E5B" w:rsidP="00242E5B">
    <w:pPr>
      <w:pStyle w:val="Title"/>
      <w:jc w:val="center"/>
    </w:pPr>
    <w:r>
      <w:t>Pupil Premium S</w:t>
    </w:r>
    <w:r w:rsidR="002D25F3">
      <w:t xml:space="preserve">pending Plan </w:t>
    </w:r>
    <w:r w:rsidR="004E2807">
      <w:t>2016-2017</w:t>
    </w:r>
  </w:p>
  <w:p w14:paraId="33CCFECE" w14:textId="77777777" w:rsidR="002D25F3" w:rsidRPr="002D25F3" w:rsidRDefault="002D25F3" w:rsidP="002D2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2"/>
    <w:multiLevelType w:val="multilevel"/>
    <w:tmpl w:val="C522613E"/>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180"/>
        </w:tabs>
        <w:ind w:left="18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180"/>
        </w:tabs>
        <w:ind w:left="18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abstractNum w:abstractNumId="1" w15:restartNumberingAfterBreak="0">
    <w:nsid w:val="20337CD1"/>
    <w:multiLevelType w:val="multilevel"/>
    <w:tmpl w:val="C522613E"/>
    <w:lvl w:ilvl="0">
      <w:start w:val="1"/>
      <w:numFmt w:val="bullet"/>
      <w:lvlText w:val="•"/>
      <w:lvlJc w:val="left"/>
      <w:pPr>
        <w:tabs>
          <w:tab w:val="num" w:pos="0"/>
        </w:tabs>
        <w:ind w:left="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0"/>
        </w:tabs>
        <w:ind w:left="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900"/>
        </w:tabs>
        <w:ind w:left="-90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0"/>
        </w:tabs>
        <w:ind w:left="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0"/>
        </w:tabs>
        <w:ind w:left="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0"/>
        </w:tabs>
        <w:ind w:left="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0"/>
        </w:tabs>
        <w:ind w:left="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0"/>
        </w:tabs>
        <w:ind w:left="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0"/>
        </w:tabs>
        <w:ind w:left="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abstractNum w:abstractNumId="2" w15:restartNumberingAfterBreak="0">
    <w:nsid w:val="28556EA5"/>
    <w:multiLevelType w:val="multilevel"/>
    <w:tmpl w:val="C522613E"/>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180"/>
        </w:tabs>
        <w:ind w:left="18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180"/>
        </w:tabs>
        <w:ind w:left="18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abstractNum w:abstractNumId="3" w15:restartNumberingAfterBreak="0">
    <w:nsid w:val="389731E3"/>
    <w:multiLevelType w:val="multilevel"/>
    <w:tmpl w:val="C522613E"/>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180"/>
        </w:tabs>
        <w:ind w:left="18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180"/>
        </w:tabs>
        <w:ind w:left="18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abstractNum w:abstractNumId="4" w15:restartNumberingAfterBreak="0">
    <w:nsid w:val="3DBF1492"/>
    <w:multiLevelType w:val="multilevel"/>
    <w:tmpl w:val="C522613E"/>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180"/>
        </w:tabs>
        <w:ind w:left="18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180"/>
        </w:tabs>
        <w:ind w:left="18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abstractNum w:abstractNumId="5" w15:restartNumberingAfterBreak="0">
    <w:nsid w:val="417D118B"/>
    <w:multiLevelType w:val="hybridMultilevel"/>
    <w:tmpl w:val="5142D7F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49174E87"/>
    <w:multiLevelType w:val="multilevel"/>
    <w:tmpl w:val="C522613E"/>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180"/>
        </w:tabs>
        <w:ind w:left="18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180"/>
        </w:tabs>
        <w:ind w:left="18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abstractNum w:abstractNumId="7" w15:restartNumberingAfterBreak="0">
    <w:nsid w:val="4ED33C17"/>
    <w:multiLevelType w:val="hybridMultilevel"/>
    <w:tmpl w:val="041AB0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B10464F"/>
    <w:multiLevelType w:val="hybridMultilevel"/>
    <w:tmpl w:val="17265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3A216B"/>
    <w:multiLevelType w:val="multilevel"/>
    <w:tmpl w:val="C522613E"/>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180"/>
        </w:tabs>
        <w:ind w:left="18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180"/>
        </w:tabs>
        <w:ind w:left="18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abstractNum w:abstractNumId="10" w15:restartNumberingAfterBreak="0">
    <w:nsid w:val="74205328"/>
    <w:multiLevelType w:val="multilevel"/>
    <w:tmpl w:val="C522613E"/>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2">
      <w:start w:val="1"/>
      <w:numFmt w:val="bullet"/>
      <w:lvlText w:val="•"/>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3">
      <w:start w:val="1"/>
      <w:numFmt w:val="bullet"/>
      <w:lvlText w:val="o"/>
      <w:lvlJc w:val="left"/>
      <w:pPr>
        <w:tabs>
          <w:tab w:val="num" w:pos="180"/>
        </w:tabs>
        <w:ind w:left="180" w:firstLine="108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4">
      <w:start w:val="1"/>
      <w:numFmt w:val="bullet"/>
      <w:lvlText w:val="o"/>
      <w:lvlJc w:val="left"/>
      <w:pPr>
        <w:tabs>
          <w:tab w:val="num" w:pos="180"/>
        </w:tabs>
        <w:ind w:left="180" w:firstLine="1440"/>
      </w:pPr>
      <w:rPr>
        <w:rFonts w:ascii="Courier New" w:hAnsi="Courier New" w:cs="Courier New" w:hint="default"/>
        <w:b w:val="0"/>
        <w:i w:val="0"/>
        <w:caps w:val="0"/>
        <w:smallCaps w:val="0"/>
        <w:strike w:val="0"/>
        <w:dstrike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rPr>
    </w:lvl>
  </w:abstractNum>
  <w:num w:numId="1">
    <w:abstractNumId w:val="0"/>
  </w:num>
  <w:num w:numId="2">
    <w:abstractNumId w:val="7"/>
  </w:num>
  <w:num w:numId="3">
    <w:abstractNumId w:val="9"/>
  </w:num>
  <w:num w:numId="4">
    <w:abstractNumId w:val="1"/>
  </w:num>
  <w:num w:numId="5">
    <w:abstractNumId w:val="10"/>
  </w:num>
  <w:num w:numId="6">
    <w:abstractNumId w:val="2"/>
  </w:num>
  <w:num w:numId="7">
    <w:abstractNumId w:val="4"/>
  </w:num>
  <w:num w:numId="8">
    <w:abstractNumId w:val="6"/>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5B"/>
    <w:rsid w:val="00226670"/>
    <w:rsid w:val="00242E5B"/>
    <w:rsid w:val="002D25F3"/>
    <w:rsid w:val="002F0461"/>
    <w:rsid w:val="0032758D"/>
    <w:rsid w:val="003F6AC4"/>
    <w:rsid w:val="0045387A"/>
    <w:rsid w:val="004603B2"/>
    <w:rsid w:val="004A41C2"/>
    <w:rsid w:val="004E2807"/>
    <w:rsid w:val="00505FC0"/>
    <w:rsid w:val="00553D1C"/>
    <w:rsid w:val="00617CAD"/>
    <w:rsid w:val="00647989"/>
    <w:rsid w:val="00696154"/>
    <w:rsid w:val="006D6124"/>
    <w:rsid w:val="006E3ADD"/>
    <w:rsid w:val="006E719B"/>
    <w:rsid w:val="007666CD"/>
    <w:rsid w:val="007F18E2"/>
    <w:rsid w:val="0082488A"/>
    <w:rsid w:val="008B5F7E"/>
    <w:rsid w:val="00936370"/>
    <w:rsid w:val="00974663"/>
    <w:rsid w:val="00975176"/>
    <w:rsid w:val="0098357D"/>
    <w:rsid w:val="009A49C9"/>
    <w:rsid w:val="009B5EB0"/>
    <w:rsid w:val="00A7304C"/>
    <w:rsid w:val="00AC23BC"/>
    <w:rsid w:val="00B2167F"/>
    <w:rsid w:val="00BD56E9"/>
    <w:rsid w:val="00C448D6"/>
    <w:rsid w:val="00CE7C4D"/>
    <w:rsid w:val="00D1005D"/>
    <w:rsid w:val="00D85A5D"/>
    <w:rsid w:val="00DA6940"/>
    <w:rsid w:val="00DB1E9A"/>
    <w:rsid w:val="00E63978"/>
    <w:rsid w:val="00E966F2"/>
    <w:rsid w:val="00EC1FC8"/>
    <w:rsid w:val="00EF6630"/>
    <w:rsid w:val="00F7045E"/>
    <w:rsid w:val="00FD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FE17"/>
  <w15:chartTrackingRefBased/>
  <w15:docId w15:val="{B667E21B-4871-4728-9133-76465321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E5B"/>
  </w:style>
  <w:style w:type="paragraph" w:styleId="Footer">
    <w:name w:val="footer"/>
    <w:basedOn w:val="Normal"/>
    <w:link w:val="FooterChar"/>
    <w:uiPriority w:val="99"/>
    <w:unhideWhenUsed/>
    <w:rsid w:val="00242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E5B"/>
  </w:style>
  <w:style w:type="paragraph" w:styleId="Title">
    <w:name w:val="Title"/>
    <w:basedOn w:val="Normal"/>
    <w:next w:val="Normal"/>
    <w:link w:val="TitleChar"/>
    <w:uiPriority w:val="10"/>
    <w:qFormat/>
    <w:rsid w:val="00242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E5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4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E5B"/>
    <w:pPr>
      <w:autoSpaceDE w:val="0"/>
      <w:autoSpaceDN w:val="0"/>
      <w:adjustRightInd w:val="0"/>
      <w:spacing w:after="0" w:line="240" w:lineRule="auto"/>
    </w:pPr>
    <w:rPr>
      <w:rFonts w:ascii="Calibri" w:hAnsi="Calibri" w:cs="Calibri"/>
      <w:color w:val="000000"/>
      <w:sz w:val="24"/>
      <w:szCs w:val="24"/>
    </w:rPr>
  </w:style>
  <w:style w:type="character" w:styleId="Emphasis">
    <w:name w:val="Emphasis"/>
    <w:uiPriority w:val="20"/>
    <w:qFormat/>
    <w:rsid w:val="007666CD"/>
    <w:rPr>
      <w:rFonts w:asciiTheme="majorHAnsi" w:eastAsiaTheme="majorEastAsia" w:hAnsiTheme="majorHAnsi" w:cstheme="majorBidi" w:hint="default"/>
      <w:b/>
      <w:bCs/>
      <w:i/>
      <w:iCs/>
      <w:color w:val="ED7D31" w:themeColor="accent2"/>
      <w:bdr w:val="single" w:sz="18" w:space="0" w:color="FBE4D5" w:themeColor="accent2" w:themeTint="33" w:frame="1"/>
      <w:shd w:val="clear" w:color="auto" w:fill="FBE4D5" w:themeFill="accent2" w:themeFillTint="33"/>
    </w:rPr>
  </w:style>
  <w:style w:type="character" w:customStyle="1" w:styleId="Heading1Char">
    <w:name w:val="Heading 1 Char"/>
    <w:basedOn w:val="DefaultParagraphFont"/>
    <w:link w:val="Heading11"/>
    <w:uiPriority w:val="9"/>
    <w:locked/>
    <w:rsid w:val="00647989"/>
    <w:rPr>
      <w:rFonts w:asciiTheme="majorHAnsi" w:eastAsiaTheme="majorEastAsia" w:hAnsiTheme="majorHAnsi" w:cstheme="majorBidi"/>
      <w:b/>
      <w:bCs/>
      <w:i/>
      <w:iCs/>
      <w:color w:val="660033"/>
      <w:shd w:val="clear" w:color="auto" w:fill="FBE4D5" w:themeFill="accent2" w:themeFillTint="33"/>
    </w:rPr>
  </w:style>
  <w:style w:type="paragraph" w:customStyle="1" w:styleId="Heading11">
    <w:name w:val="Heading 11"/>
    <w:basedOn w:val="Normal"/>
    <w:next w:val="Normal"/>
    <w:link w:val="Heading1Char"/>
    <w:uiPriority w:val="9"/>
    <w:qFormat/>
    <w:rsid w:val="0064798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8" w:lineRule="auto"/>
      <w:contextualSpacing/>
      <w:outlineLvl w:val="0"/>
    </w:pPr>
    <w:rPr>
      <w:rFonts w:asciiTheme="majorHAnsi" w:eastAsiaTheme="majorEastAsia" w:hAnsiTheme="majorHAnsi" w:cstheme="majorBidi"/>
      <w:b/>
      <w:bCs/>
      <w:i/>
      <w:iCs/>
      <w:color w:val="660033"/>
    </w:rPr>
  </w:style>
  <w:style w:type="paragraph" w:customStyle="1" w:styleId="BodyBullet">
    <w:name w:val="Body Bullet"/>
    <w:rsid w:val="007666CD"/>
    <w:pPr>
      <w:spacing w:after="0" w:line="240" w:lineRule="auto"/>
    </w:pPr>
    <w:rPr>
      <w:rFonts w:ascii="Helvetica" w:eastAsia="Arial Unicode MS" w:hAnsi="Helvetica"/>
      <w:color w:val="000000"/>
      <w:sz w:val="24"/>
      <w:lang w:val="en-US" w:bidi="en-US"/>
    </w:rPr>
  </w:style>
  <w:style w:type="paragraph" w:styleId="ListParagraph">
    <w:name w:val="List Paragraph"/>
    <w:basedOn w:val="Normal"/>
    <w:uiPriority w:val="34"/>
    <w:qFormat/>
    <w:rsid w:val="0098357D"/>
    <w:pPr>
      <w:ind w:left="720"/>
      <w:contextualSpacing/>
    </w:pPr>
  </w:style>
  <w:style w:type="paragraph" w:styleId="NoSpacing">
    <w:name w:val="No Spacing"/>
    <w:basedOn w:val="Normal"/>
    <w:uiPriority w:val="1"/>
    <w:qFormat/>
    <w:rsid w:val="00553D1C"/>
    <w:pPr>
      <w:spacing w:after="0" w:line="240" w:lineRule="auto"/>
    </w:pPr>
    <w:rPr>
      <w:rFonts w:eastAsiaTheme="minorEastAsia"/>
      <w:i/>
      <w:iCs/>
      <w:sz w:val="20"/>
      <w:szCs w:val="20"/>
      <w:lang w:val="en-US" w:bidi="en-US"/>
    </w:rPr>
  </w:style>
  <w:style w:type="character" w:customStyle="1" w:styleId="apple-converted-space">
    <w:name w:val="apple-converted-space"/>
    <w:basedOn w:val="DefaultParagraphFont"/>
    <w:rsid w:val="0082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402">
      <w:bodyDiv w:val="1"/>
      <w:marLeft w:val="0"/>
      <w:marRight w:val="0"/>
      <w:marTop w:val="0"/>
      <w:marBottom w:val="0"/>
      <w:divBdr>
        <w:top w:val="none" w:sz="0" w:space="0" w:color="auto"/>
        <w:left w:val="none" w:sz="0" w:space="0" w:color="auto"/>
        <w:bottom w:val="none" w:sz="0" w:space="0" w:color="auto"/>
        <w:right w:val="none" w:sz="0" w:space="0" w:color="auto"/>
      </w:divBdr>
    </w:div>
    <w:div w:id="738289144">
      <w:bodyDiv w:val="1"/>
      <w:marLeft w:val="0"/>
      <w:marRight w:val="0"/>
      <w:marTop w:val="0"/>
      <w:marBottom w:val="0"/>
      <w:divBdr>
        <w:top w:val="none" w:sz="0" w:space="0" w:color="auto"/>
        <w:left w:val="none" w:sz="0" w:space="0" w:color="auto"/>
        <w:bottom w:val="none" w:sz="0" w:space="0" w:color="auto"/>
        <w:right w:val="none" w:sz="0" w:space="0" w:color="auto"/>
      </w:divBdr>
    </w:div>
    <w:div w:id="745802796">
      <w:bodyDiv w:val="1"/>
      <w:marLeft w:val="0"/>
      <w:marRight w:val="0"/>
      <w:marTop w:val="0"/>
      <w:marBottom w:val="0"/>
      <w:divBdr>
        <w:top w:val="none" w:sz="0" w:space="0" w:color="auto"/>
        <w:left w:val="none" w:sz="0" w:space="0" w:color="auto"/>
        <w:bottom w:val="none" w:sz="0" w:space="0" w:color="auto"/>
        <w:right w:val="none" w:sz="0" w:space="0" w:color="auto"/>
      </w:divBdr>
    </w:div>
    <w:div w:id="893615825">
      <w:bodyDiv w:val="1"/>
      <w:marLeft w:val="0"/>
      <w:marRight w:val="0"/>
      <w:marTop w:val="0"/>
      <w:marBottom w:val="0"/>
      <w:divBdr>
        <w:top w:val="none" w:sz="0" w:space="0" w:color="auto"/>
        <w:left w:val="none" w:sz="0" w:space="0" w:color="auto"/>
        <w:bottom w:val="none" w:sz="0" w:space="0" w:color="auto"/>
        <w:right w:val="none" w:sz="0" w:space="0" w:color="auto"/>
      </w:divBdr>
    </w:div>
    <w:div w:id="936135196">
      <w:bodyDiv w:val="1"/>
      <w:marLeft w:val="0"/>
      <w:marRight w:val="0"/>
      <w:marTop w:val="0"/>
      <w:marBottom w:val="0"/>
      <w:divBdr>
        <w:top w:val="none" w:sz="0" w:space="0" w:color="auto"/>
        <w:left w:val="none" w:sz="0" w:space="0" w:color="auto"/>
        <w:bottom w:val="none" w:sz="0" w:space="0" w:color="auto"/>
        <w:right w:val="none" w:sz="0" w:space="0" w:color="auto"/>
      </w:divBdr>
    </w:div>
    <w:div w:id="1485583139">
      <w:bodyDiv w:val="1"/>
      <w:marLeft w:val="0"/>
      <w:marRight w:val="0"/>
      <w:marTop w:val="0"/>
      <w:marBottom w:val="0"/>
      <w:divBdr>
        <w:top w:val="none" w:sz="0" w:space="0" w:color="auto"/>
        <w:left w:val="none" w:sz="0" w:space="0" w:color="auto"/>
        <w:bottom w:val="none" w:sz="0" w:space="0" w:color="auto"/>
        <w:right w:val="none" w:sz="0" w:space="0" w:color="auto"/>
      </w:divBdr>
    </w:div>
    <w:div w:id="1878081592">
      <w:bodyDiv w:val="1"/>
      <w:marLeft w:val="0"/>
      <w:marRight w:val="0"/>
      <w:marTop w:val="0"/>
      <w:marBottom w:val="0"/>
      <w:divBdr>
        <w:top w:val="none" w:sz="0" w:space="0" w:color="auto"/>
        <w:left w:val="none" w:sz="0" w:space="0" w:color="auto"/>
        <w:bottom w:val="none" w:sz="0" w:space="0" w:color="auto"/>
        <w:right w:val="none" w:sz="0" w:space="0" w:color="auto"/>
      </w:divBdr>
      <w:divsChild>
        <w:div w:id="1249583406">
          <w:marLeft w:val="0"/>
          <w:marRight w:val="0"/>
          <w:marTop w:val="0"/>
          <w:marBottom w:val="0"/>
          <w:divBdr>
            <w:top w:val="none" w:sz="0" w:space="0" w:color="auto"/>
            <w:left w:val="none" w:sz="0" w:space="0" w:color="auto"/>
            <w:bottom w:val="none" w:sz="0" w:space="0" w:color="auto"/>
            <w:right w:val="none" w:sz="0" w:space="0" w:color="auto"/>
          </w:divBdr>
          <w:divsChild>
            <w:div w:id="34237229">
              <w:marLeft w:val="0"/>
              <w:marRight w:val="0"/>
              <w:marTop w:val="0"/>
              <w:marBottom w:val="0"/>
              <w:divBdr>
                <w:top w:val="none" w:sz="0" w:space="0" w:color="auto"/>
                <w:left w:val="none" w:sz="0" w:space="0" w:color="auto"/>
                <w:bottom w:val="none" w:sz="0" w:space="0" w:color="auto"/>
                <w:right w:val="none" w:sz="0" w:space="0" w:color="auto"/>
              </w:divBdr>
              <w:divsChild>
                <w:div w:id="211235333">
                  <w:marLeft w:val="-75"/>
                  <w:marRight w:val="-75"/>
                  <w:marTop w:val="0"/>
                  <w:marBottom w:val="0"/>
                  <w:divBdr>
                    <w:top w:val="none" w:sz="0" w:space="0" w:color="auto"/>
                    <w:left w:val="none" w:sz="0" w:space="0" w:color="auto"/>
                    <w:bottom w:val="none" w:sz="0" w:space="0" w:color="auto"/>
                    <w:right w:val="none" w:sz="0" w:space="0" w:color="auto"/>
                  </w:divBdr>
                  <w:divsChild>
                    <w:div w:id="547300752">
                      <w:marLeft w:val="0"/>
                      <w:marRight w:val="0"/>
                      <w:marTop w:val="0"/>
                      <w:marBottom w:val="0"/>
                      <w:divBdr>
                        <w:top w:val="none" w:sz="0" w:space="0" w:color="auto"/>
                        <w:left w:val="none" w:sz="0" w:space="0" w:color="auto"/>
                        <w:bottom w:val="none" w:sz="0" w:space="0" w:color="auto"/>
                        <w:right w:val="none" w:sz="0" w:space="0" w:color="auto"/>
                      </w:divBdr>
                      <w:divsChild>
                        <w:div w:id="1744716485">
                          <w:marLeft w:val="-75"/>
                          <w:marRight w:val="-75"/>
                          <w:marTop w:val="0"/>
                          <w:marBottom w:val="0"/>
                          <w:divBdr>
                            <w:top w:val="none" w:sz="0" w:space="0" w:color="auto"/>
                            <w:left w:val="none" w:sz="0" w:space="0" w:color="auto"/>
                            <w:bottom w:val="none" w:sz="0" w:space="0" w:color="auto"/>
                            <w:right w:val="none" w:sz="0" w:space="0" w:color="auto"/>
                          </w:divBdr>
                          <w:divsChild>
                            <w:div w:id="1033456701">
                              <w:marLeft w:val="0"/>
                              <w:marRight w:val="0"/>
                              <w:marTop w:val="0"/>
                              <w:marBottom w:val="0"/>
                              <w:divBdr>
                                <w:top w:val="none" w:sz="0" w:space="0" w:color="auto"/>
                                <w:left w:val="none" w:sz="0" w:space="0" w:color="auto"/>
                                <w:bottom w:val="none" w:sz="0" w:space="0" w:color="auto"/>
                                <w:right w:val="none" w:sz="0" w:space="0" w:color="auto"/>
                              </w:divBdr>
                              <w:divsChild>
                                <w:div w:id="208876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Policy xmlns="f5f4a50b-5135-49be-a3eb-fa7d1f17fc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4F40D2D02EED48ABDBC6ACC488BC89" ma:contentTypeVersion="4" ma:contentTypeDescription="Create a new document." ma:contentTypeScope="" ma:versionID="073b8753468b2a6fe9d6b5ed26d31805">
  <xsd:schema xmlns:xsd="http://www.w3.org/2001/XMLSchema" xmlns:xs="http://www.w3.org/2001/XMLSchema" xmlns:p="http://schemas.microsoft.com/office/2006/metadata/properties" xmlns:ns2="f5f4a50b-5135-49be-a3eb-fa7d1f17fcd5" targetNamespace="http://schemas.microsoft.com/office/2006/metadata/properties" ma:root="true" ma:fieldsID="08598804cefbd09a83865fab7989fd0d" ns2:_="">
    <xsd:import namespace="f5f4a50b-5135-49be-a3eb-fa7d1f17fcd5"/>
    <xsd:element name="properties">
      <xsd:complexType>
        <xsd:sequence>
          <xsd:element name="documentManagement">
            <xsd:complexType>
              <xsd:all>
                <xsd:element ref="ns2:SharedWithUsers" minOccurs="0"/>
                <xsd:element ref="ns2:SharedWithDetails" minOccurs="0"/>
                <xsd:element ref="ns2:Publish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4a50b-5135-49be-a3eb-fa7d1f17fc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PublishPolicy" ma:index="10" nillable="true" ma:displayName="Publish Policy" ma:format="Dropdown" ma:internalName="Publish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2C93B-4448-499F-BF1F-AA1CB047DEBB}">
  <ds:schemaRefs>
    <ds:schemaRef ds:uri="http://schemas.microsoft.com/sharepoint/v3/contenttype/forms"/>
  </ds:schemaRefs>
</ds:datastoreItem>
</file>

<file path=customXml/itemProps2.xml><?xml version="1.0" encoding="utf-8"?>
<ds:datastoreItem xmlns:ds="http://schemas.openxmlformats.org/officeDocument/2006/customXml" ds:itemID="{CB36B18B-71F8-40B4-AF53-6BA74B0A1A90}">
  <ds:schemaRefs>
    <ds:schemaRef ds:uri="http://schemas.microsoft.com/office/2006/metadata/properties"/>
    <ds:schemaRef ds:uri="http://schemas.microsoft.com/office/infopath/2007/PartnerControls"/>
    <ds:schemaRef ds:uri="f5f4a50b-5135-49be-a3eb-fa7d1f17fcd5"/>
  </ds:schemaRefs>
</ds:datastoreItem>
</file>

<file path=customXml/itemProps3.xml><?xml version="1.0" encoding="utf-8"?>
<ds:datastoreItem xmlns:ds="http://schemas.openxmlformats.org/officeDocument/2006/customXml" ds:itemID="{241AE59F-6B15-4795-82B8-100EEC24C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4a50b-5135-49be-a3eb-fa7d1f17f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Blagden</dc:creator>
  <cp:keywords/>
  <dc:description/>
  <cp:lastModifiedBy>Rachel Goodyear</cp:lastModifiedBy>
  <cp:revision>2</cp:revision>
  <dcterms:created xsi:type="dcterms:W3CDTF">2016-11-01T13:12:00Z</dcterms:created>
  <dcterms:modified xsi:type="dcterms:W3CDTF">2016-11-01T13:12:00Z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0x010100A04F40D2D02EED48ABDBC6ACC488BC89</vt:lpwstr>
  </property>
</Properties>
</file>